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65F1" w14:textId="4300AFB8" w:rsidR="00EA0692" w:rsidRPr="0096210C" w:rsidRDefault="00EA0692" w:rsidP="0024658B">
      <w:pPr>
        <w:pStyle w:val="Heading1"/>
        <w:spacing w:after="0"/>
        <w:rPr>
          <w:rFonts w:asciiTheme="minorHAnsi" w:hAnsiTheme="minorHAnsi" w:cstheme="minorHAnsi"/>
          <w:b w:val="0"/>
          <w:bCs w:val="0"/>
        </w:rPr>
      </w:pPr>
      <w:r w:rsidRPr="0096210C">
        <w:rPr>
          <w:rFonts w:asciiTheme="minorHAnsi" w:hAnsiTheme="minorHAnsi" w:cstheme="minorHAnsi"/>
          <w:b w:val="0"/>
          <w:bCs w:val="0"/>
          <w:noProof/>
        </w:rPr>
        <w:drawing>
          <wp:inline distT="0" distB="0" distL="0" distR="0" wp14:anchorId="0C620707" wp14:editId="7DEE7F95">
            <wp:extent cx="3200400" cy="65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R-HOR-Tex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985" cy="670079"/>
                    </a:xfrm>
                    <a:prstGeom prst="rect">
                      <a:avLst/>
                    </a:prstGeom>
                  </pic:spPr>
                </pic:pic>
              </a:graphicData>
            </a:graphic>
          </wp:inline>
        </w:drawing>
      </w:r>
    </w:p>
    <w:p w14:paraId="0FA7CBE3" w14:textId="77777777" w:rsidR="00EA0692" w:rsidRPr="0096210C" w:rsidRDefault="00EA0692" w:rsidP="00EA0692">
      <w:pPr>
        <w:rPr>
          <w:rFonts w:asciiTheme="minorHAnsi" w:hAnsiTheme="minorHAnsi" w:cstheme="minorHAnsi"/>
        </w:rPr>
      </w:pPr>
    </w:p>
    <w:p w14:paraId="616E8E0D" w14:textId="4DB9179D" w:rsidR="0024658B" w:rsidRPr="0096210C" w:rsidRDefault="00977569" w:rsidP="00763137">
      <w:pPr>
        <w:pStyle w:val="Heading1"/>
        <w:tabs>
          <w:tab w:val="right" w:pos="9617"/>
        </w:tabs>
        <w:spacing w:before="120" w:after="480"/>
        <w:rPr>
          <w:rFonts w:asciiTheme="minorHAnsi" w:hAnsiTheme="minorHAnsi" w:cstheme="minorHAnsi"/>
          <w:b w:val="0"/>
          <w:bCs w:val="0"/>
        </w:rPr>
      </w:pPr>
      <w:r w:rsidRPr="0096210C">
        <w:rPr>
          <w:rFonts w:asciiTheme="minorHAnsi" w:hAnsiTheme="minorHAnsi" w:cstheme="minorHAnsi"/>
          <w:b w:val="0"/>
          <w:bCs w:val="0"/>
        </w:rPr>
        <w:t>Press Release</w:t>
      </w:r>
      <w:r w:rsidR="0024658B" w:rsidRPr="0096210C">
        <w:rPr>
          <w:rFonts w:asciiTheme="minorHAnsi" w:hAnsiTheme="minorHAnsi" w:cstheme="minorHAnsi"/>
          <w:b w:val="0"/>
          <w:bCs w:val="0"/>
        </w:rPr>
        <w:tab/>
      </w:r>
    </w:p>
    <w:p w14:paraId="16930374" w14:textId="1E7A96E1" w:rsidR="00D075BF" w:rsidRPr="0096210C" w:rsidRDefault="00EA0692" w:rsidP="00763137">
      <w:pPr>
        <w:pStyle w:val="Heading1"/>
        <w:tabs>
          <w:tab w:val="right" w:pos="9617"/>
        </w:tabs>
        <w:spacing w:before="360" w:after="360"/>
        <w:rPr>
          <w:rFonts w:asciiTheme="minorHAnsi" w:hAnsiTheme="minorHAnsi" w:cstheme="minorHAnsi"/>
          <w:b w:val="0"/>
          <w:bCs w:val="0"/>
          <w:color w:val="auto"/>
        </w:rPr>
      </w:pPr>
      <w:r w:rsidRPr="0096210C">
        <w:rPr>
          <w:rFonts w:asciiTheme="minorHAnsi" w:hAnsiTheme="minorHAnsi" w:cstheme="minorHAnsi"/>
          <w:b w:val="0"/>
          <w:bCs w:val="0"/>
          <w:color w:val="auto"/>
          <w:sz w:val="20"/>
          <w:szCs w:val="20"/>
        </w:rPr>
        <w:t>The World Economic Forum, Davos, Switzerland</w:t>
      </w:r>
      <w:r w:rsidR="00D23129" w:rsidRPr="0096210C">
        <w:rPr>
          <w:rFonts w:asciiTheme="minorHAnsi" w:hAnsiTheme="minorHAnsi" w:cstheme="minorHAnsi"/>
          <w:b w:val="0"/>
          <w:bCs w:val="0"/>
          <w:color w:val="auto"/>
          <w:sz w:val="20"/>
          <w:szCs w:val="20"/>
        </w:rPr>
        <w:t xml:space="preserve">, </w:t>
      </w:r>
      <w:r w:rsidRPr="0096210C">
        <w:rPr>
          <w:rFonts w:asciiTheme="minorHAnsi" w:hAnsiTheme="minorHAnsi" w:cstheme="minorHAnsi"/>
          <w:b w:val="0"/>
          <w:bCs w:val="0"/>
          <w:color w:val="auto"/>
          <w:sz w:val="20"/>
          <w:szCs w:val="20"/>
        </w:rPr>
        <w:t>January 22, 2020</w:t>
      </w:r>
    </w:p>
    <w:p w14:paraId="20F825CD" w14:textId="5FFB0862" w:rsidR="00D075BF" w:rsidRPr="0096210C" w:rsidRDefault="00D075BF" w:rsidP="00D075BF">
      <w:pPr>
        <w:rPr>
          <w:rFonts w:asciiTheme="minorHAnsi" w:hAnsiTheme="minorHAnsi" w:cstheme="minorHAnsi"/>
          <w:b/>
          <w:bCs/>
          <w:sz w:val="20"/>
          <w:szCs w:val="20"/>
        </w:rPr>
      </w:pPr>
      <w:r w:rsidRPr="0096210C">
        <w:rPr>
          <w:rFonts w:asciiTheme="minorHAnsi" w:hAnsiTheme="minorHAnsi" w:cstheme="minorHAnsi"/>
          <w:b/>
          <w:bCs/>
          <w:sz w:val="20"/>
          <w:szCs w:val="20"/>
        </w:rPr>
        <w:t xml:space="preserve">The Positive Impact Rating (PIR) is a new rating conducted by students and for students. It is the first time that students around the world assess their business schools on how they perceive their positive impact in the world. The positive impact of business schools goes beyond their contribution to business and the economy; it addresses the need for their positive impact for society. </w:t>
      </w:r>
    </w:p>
    <w:p w14:paraId="0AC97873" w14:textId="77777777" w:rsidR="00D075BF" w:rsidRPr="0096210C" w:rsidRDefault="00D075BF" w:rsidP="00D075BF">
      <w:pPr>
        <w:rPr>
          <w:rFonts w:asciiTheme="minorHAnsi" w:hAnsiTheme="minorHAnsi" w:cstheme="minorHAnsi"/>
          <w:sz w:val="20"/>
          <w:szCs w:val="20"/>
        </w:rPr>
      </w:pPr>
    </w:p>
    <w:p w14:paraId="6E1E7A5D" w14:textId="77777777" w:rsidR="00D075BF" w:rsidRPr="0096210C" w:rsidRDefault="00D075BF" w:rsidP="00763137">
      <w:pPr>
        <w:shd w:val="clear" w:color="auto" w:fill="7DE3FF"/>
        <w:ind w:left="709" w:right="970"/>
        <w:jc w:val="left"/>
        <w:rPr>
          <w:rFonts w:asciiTheme="minorHAnsi" w:hAnsiTheme="minorHAnsi" w:cstheme="minorHAnsi"/>
          <w:i/>
          <w:iCs/>
          <w:sz w:val="20"/>
          <w:szCs w:val="20"/>
        </w:rPr>
      </w:pPr>
      <w:r w:rsidRPr="0096210C">
        <w:rPr>
          <w:rFonts w:asciiTheme="minorHAnsi" w:hAnsiTheme="minorHAnsi" w:cstheme="minorHAnsi"/>
          <w:i/>
          <w:iCs/>
          <w:sz w:val="20"/>
          <w:szCs w:val="20"/>
        </w:rPr>
        <w:t xml:space="preserve">“Future generations will be grateful for students selecting PIR business schools. Such enlightened leaders are the key for business to achieve a positive impact for the world.” </w:t>
      </w:r>
    </w:p>
    <w:p w14:paraId="22493088" w14:textId="77777777" w:rsidR="00D075BF" w:rsidRPr="0096210C" w:rsidRDefault="00D075BF" w:rsidP="00763137">
      <w:pPr>
        <w:shd w:val="clear" w:color="auto" w:fill="7DE3FF"/>
        <w:tabs>
          <w:tab w:val="right" w:pos="8647"/>
        </w:tabs>
        <w:ind w:left="709" w:right="970"/>
        <w:jc w:val="left"/>
        <w:rPr>
          <w:rFonts w:asciiTheme="minorHAnsi" w:hAnsiTheme="minorHAnsi" w:cstheme="minorHAnsi"/>
          <w:i/>
          <w:iCs/>
          <w:sz w:val="20"/>
          <w:szCs w:val="20"/>
        </w:rPr>
      </w:pPr>
      <w:r w:rsidRPr="0096210C">
        <w:rPr>
          <w:rFonts w:asciiTheme="minorHAnsi" w:hAnsiTheme="minorHAnsi" w:cstheme="minorHAnsi"/>
          <w:i/>
          <w:iCs/>
          <w:sz w:val="20"/>
          <w:szCs w:val="20"/>
        </w:rPr>
        <w:tab/>
        <w:t>Antonio Hautle, Executive Director, UN Global Compact Switzerland.</w:t>
      </w:r>
    </w:p>
    <w:p w14:paraId="345FEE29" w14:textId="5F407076" w:rsidR="003F0CD0" w:rsidRPr="0096210C" w:rsidRDefault="003F0CD0" w:rsidP="0005655F">
      <w:pPr>
        <w:rPr>
          <w:rFonts w:asciiTheme="minorHAnsi" w:hAnsiTheme="minorHAnsi" w:cstheme="minorHAnsi"/>
          <w:b/>
          <w:bCs/>
          <w:sz w:val="20"/>
          <w:szCs w:val="20"/>
        </w:rPr>
      </w:pPr>
    </w:p>
    <w:p w14:paraId="14D39893" w14:textId="47BCFEBA" w:rsidR="003F0CD0" w:rsidRPr="0096210C" w:rsidRDefault="00D075BF" w:rsidP="00AD57D8">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The larger role of</w:t>
      </w:r>
      <w:r w:rsidR="003F0CD0" w:rsidRPr="0096210C">
        <w:rPr>
          <w:rFonts w:asciiTheme="minorHAnsi" w:hAnsiTheme="minorHAnsi" w:cstheme="minorHAnsi"/>
          <w:b/>
          <w:bCs/>
          <w:color w:val="0084A8"/>
          <w:sz w:val="22"/>
        </w:rPr>
        <w:t xml:space="preserve"> business schools </w:t>
      </w:r>
    </w:p>
    <w:p w14:paraId="46274957" w14:textId="3953C70F" w:rsidR="003F0CD0" w:rsidRPr="0096210C" w:rsidRDefault="003F0CD0" w:rsidP="0005655F">
      <w:pPr>
        <w:rPr>
          <w:rFonts w:asciiTheme="minorHAnsi" w:hAnsiTheme="minorHAnsi" w:cstheme="minorHAnsi"/>
          <w:sz w:val="20"/>
          <w:szCs w:val="20"/>
        </w:rPr>
      </w:pPr>
      <w:r w:rsidRPr="0096210C">
        <w:rPr>
          <w:rFonts w:asciiTheme="minorHAnsi" w:hAnsiTheme="minorHAnsi" w:cstheme="minorHAnsi"/>
          <w:sz w:val="20"/>
          <w:szCs w:val="20"/>
        </w:rPr>
        <w:t xml:space="preserve">Business schools </w:t>
      </w:r>
      <w:r w:rsidR="00D23129" w:rsidRPr="0096210C">
        <w:rPr>
          <w:rFonts w:asciiTheme="minorHAnsi" w:hAnsiTheme="minorHAnsi" w:cstheme="minorHAnsi"/>
          <w:sz w:val="20"/>
          <w:szCs w:val="20"/>
        </w:rPr>
        <w:t xml:space="preserve">are </w:t>
      </w:r>
      <w:r w:rsidRPr="0096210C">
        <w:rPr>
          <w:rFonts w:asciiTheme="minorHAnsi" w:hAnsiTheme="minorHAnsi" w:cstheme="minorHAnsi"/>
          <w:sz w:val="20"/>
          <w:szCs w:val="20"/>
        </w:rPr>
        <w:t xml:space="preserve">traditionally seen to serve students </w:t>
      </w:r>
      <w:r w:rsidR="00AD57D8" w:rsidRPr="0096210C">
        <w:rPr>
          <w:rFonts w:asciiTheme="minorHAnsi" w:hAnsiTheme="minorHAnsi" w:cstheme="minorHAnsi"/>
          <w:sz w:val="20"/>
          <w:szCs w:val="20"/>
        </w:rPr>
        <w:t>by</w:t>
      </w:r>
      <w:r w:rsidRPr="0096210C">
        <w:rPr>
          <w:rFonts w:asciiTheme="minorHAnsi" w:hAnsiTheme="minorHAnsi" w:cstheme="minorHAnsi"/>
          <w:sz w:val="20"/>
          <w:szCs w:val="20"/>
        </w:rPr>
        <w:t xml:space="preserve"> developing their management competences and </w:t>
      </w:r>
      <w:r w:rsidR="00D075BF" w:rsidRPr="0096210C">
        <w:rPr>
          <w:rFonts w:asciiTheme="minorHAnsi" w:hAnsiTheme="minorHAnsi" w:cstheme="minorHAnsi"/>
          <w:sz w:val="20"/>
          <w:szCs w:val="20"/>
        </w:rPr>
        <w:t>to serve</w:t>
      </w:r>
      <w:r w:rsidR="00AD57D8" w:rsidRPr="0096210C">
        <w:rPr>
          <w:rFonts w:asciiTheme="minorHAnsi" w:hAnsiTheme="minorHAnsi" w:cstheme="minorHAnsi"/>
          <w:sz w:val="20"/>
          <w:szCs w:val="20"/>
        </w:rPr>
        <w:t xml:space="preserve"> </w:t>
      </w:r>
      <w:r w:rsidRPr="0096210C">
        <w:rPr>
          <w:rFonts w:asciiTheme="minorHAnsi" w:hAnsiTheme="minorHAnsi" w:cstheme="minorHAnsi"/>
          <w:sz w:val="20"/>
          <w:szCs w:val="20"/>
        </w:rPr>
        <w:t xml:space="preserve">business organizations </w:t>
      </w:r>
      <w:r w:rsidR="00AD57D8" w:rsidRPr="0096210C">
        <w:rPr>
          <w:rFonts w:asciiTheme="minorHAnsi" w:hAnsiTheme="minorHAnsi" w:cstheme="minorHAnsi"/>
          <w:sz w:val="20"/>
          <w:szCs w:val="20"/>
        </w:rPr>
        <w:t>by</w:t>
      </w:r>
      <w:r w:rsidRPr="0096210C">
        <w:rPr>
          <w:rFonts w:asciiTheme="minorHAnsi" w:hAnsiTheme="minorHAnsi" w:cstheme="minorHAnsi"/>
          <w:sz w:val="20"/>
          <w:szCs w:val="20"/>
        </w:rPr>
        <w:t xml:space="preserve"> providing them with educated talent, insights from research and continuous education for their staff. </w:t>
      </w:r>
      <w:r w:rsidR="00D075BF" w:rsidRPr="0096210C">
        <w:rPr>
          <w:rFonts w:asciiTheme="minorHAnsi" w:hAnsiTheme="minorHAnsi" w:cstheme="minorHAnsi"/>
          <w:sz w:val="20"/>
          <w:szCs w:val="20"/>
        </w:rPr>
        <w:t xml:space="preserve">Business schools </w:t>
      </w:r>
      <w:r w:rsidRPr="0096210C">
        <w:rPr>
          <w:rFonts w:asciiTheme="minorHAnsi" w:hAnsiTheme="minorHAnsi" w:cstheme="minorHAnsi"/>
          <w:sz w:val="20"/>
          <w:szCs w:val="20"/>
        </w:rPr>
        <w:t xml:space="preserve">thereby support business and the economy. Providing a positive impact </w:t>
      </w:r>
      <w:r w:rsidR="00D23129" w:rsidRPr="0096210C">
        <w:rPr>
          <w:rFonts w:asciiTheme="minorHAnsi" w:hAnsiTheme="minorHAnsi" w:cstheme="minorHAnsi"/>
          <w:sz w:val="20"/>
          <w:szCs w:val="20"/>
        </w:rPr>
        <w:t>for</w:t>
      </w:r>
      <w:r w:rsidRPr="0096210C">
        <w:rPr>
          <w:rFonts w:asciiTheme="minorHAnsi" w:hAnsiTheme="minorHAnsi" w:cstheme="minorHAnsi"/>
          <w:sz w:val="20"/>
          <w:szCs w:val="20"/>
        </w:rPr>
        <w:t xml:space="preserve"> society has not been </w:t>
      </w:r>
      <w:r w:rsidR="00D23129" w:rsidRPr="0096210C">
        <w:rPr>
          <w:rFonts w:asciiTheme="minorHAnsi" w:hAnsiTheme="minorHAnsi" w:cstheme="minorHAnsi"/>
          <w:sz w:val="20"/>
          <w:szCs w:val="20"/>
        </w:rPr>
        <w:t>considered</w:t>
      </w:r>
      <w:r w:rsidRPr="0096210C">
        <w:rPr>
          <w:rFonts w:asciiTheme="minorHAnsi" w:hAnsiTheme="minorHAnsi" w:cstheme="minorHAnsi"/>
          <w:sz w:val="20"/>
          <w:szCs w:val="20"/>
        </w:rPr>
        <w:t xml:space="preserve"> as core to business schools, </w:t>
      </w:r>
      <w:r w:rsidR="00D075BF" w:rsidRPr="0096210C">
        <w:rPr>
          <w:rFonts w:asciiTheme="minorHAnsi" w:hAnsiTheme="minorHAnsi" w:cstheme="minorHAnsi"/>
          <w:sz w:val="20"/>
          <w:szCs w:val="20"/>
        </w:rPr>
        <w:t>but</w:t>
      </w:r>
      <w:r w:rsidRPr="0096210C">
        <w:rPr>
          <w:rFonts w:asciiTheme="minorHAnsi" w:hAnsiTheme="minorHAnsi" w:cstheme="minorHAnsi"/>
          <w:sz w:val="20"/>
          <w:szCs w:val="20"/>
        </w:rPr>
        <w:t xml:space="preserve"> demands for it have </w:t>
      </w:r>
      <w:r w:rsidR="00D075BF" w:rsidRPr="0096210C">
        <w:rPr>
          <w:rFonts w:asciiTheme="minorHAnsi" w:hAnsiTheme="minorHAnsi" w:cstheme="minorHAnsi"/>
          <w:sz w:val="20"/>
          <w:szCs w:val="20"/>
        </w:rPr>
        <w:t xml:space="preserve">steadily </w:t>
      </w:r>
      <w:r w:rsidRPr="0096210C">
        <w:rPr>
          <w:rFonts w:asciiTheme="minorHAnsi" w:hAnsiTheme="minorHAnsi" w:cstheme="minorHAnsi"/>
          <w:sz w:val="20"/>
          <w:szCs w:val="20"/>
        </w:rPr>
        <w:t>increas</w:t>
      </w:r>
      <w:r w:rsidR="00D075BF" w:rsidRPr="0096210C">
        <w:rPr>
          <w:rFonts w:asciiTheme="minorHAnsi" w:hAnsiTheme="minorHAnsi" w:cstheme="minorHAnsi"/>
          <w:sz w:val="20"/>
          <w:szCs w:val="20"/>
        </w:rPr>
        <w:t>ed</w:t>
      </w:r>
      <w:r w:rsidRPr="0096210C">
        <w:rPr>
          <w:rFonts w:asciiTheme="minorHAnsi" w:hAnsiTheme="minorHAnsi" w:cstheme="minorHAnsi"/>
          <w:sz w:val="20"/>
          <w:szCs w:val="20"/>
        </w:rPr>
        <w:t xml:space="preserve"> in </w:t>
      </w:r>
      <w:r w:rsidR="00D23129" w:rsidRPr="0096210C">
        <w:rPr>
          <w:rFonts w:asciiTheme="minorHAnsi" w:hAnsiTheme="minorHAnsi" w:cstheme="minorHAnsi"/>
          <w:sz w:val="20"/>
          <w:szCs w:val="20"/>
        </w:rPr>
        <w:t>the past decade</w:t>
      </w:r>
      <w:r w:rsidR="00D075BF" w:rsidRPr="0096210C">
        <w:rPr>
          <w:rFonts w:asciiTheme="minorHAnsi" w:hAnsiTheme="minorHAnsi" w:cstheme="minorHAnsi"/>
          <w:sz w:val="20"/>
          <w:szCs w:val="20"/>
        </w:rPr>
        <w:t xml:space="preserve"> as exemplified by the UN Sustainable Development Goals.</w:t>
      </w:r>
      <w:r w:rsidRPr="0096210C">
        <w:rPr>
          <w:rFonts w:asciiTheme="minorHAnsi" w:hAnsiTheme="minorHAnsi" w:cstheme="minorHAnsi"/>
          <w:sz w:val="20"/>
          <w:szCs w:val="20"/>
        </w:rPr>
        <w:t xml:space="preserve"> Th</w:t>
      </w:r>
      <w:r w:rsidR="00D075BF" w:rsidRPr="0096210C">
        <w:rPr>
          <w:rFonts w:asciiTheme="minorHAnsi" w:hAnsiTheme="minorHAnsi" w:cstheme="minorHAnsi"/>
          <w:sz w:val="20"/>
          <w:szCs w:val="20"/>
        </w:rPr>
        <w:t xml:space="preserve">is new business school rating </w:t>
      </w:r>
      <w:r w:rsidRPr="0096210C">
        <w:rPr>
          <w:rFonts w:asciiTheme="minorHAnsi" w:hAnsiTheme="minorHAnsi" w:cstheme="minorHAnsi"/>
          <w:sz w:val="20"/>
          <w:szCs w:val="20"/>
        </w:rPr>
        <w:t>responds to these demands</w:t>
      </w:r>
      <w:r w:rsidR="00D075BF" w:rsidRPr="0096210C">
        <w:rPr>
          <w:rFonts w:asciiTheme="minorHAnsi" w:hAnsiTheme="minorHAnsi" w:cstheme="minorHAnsi"/>
          <w:sz w:val="20"/>
          <w:szCs w:val="20"/>
        </w:rPr>
        <w:t>.</w:t>
      </w:r>
    </w:p>
    <w:p w14:paraId="44AF20FA" w14:textId="77777777" w:rsidR="00D075BF" w:rsidRPr="0096210C" w:rsidRDefault="00D075BF" w:rsidP="00D075BF">
      <w:pPr>
        <w:rPr>
          <w:rFonts w:asciiTheme="minorHAnsi" w:hAnsiTheme="minorHAnsi" w:cstheme="minorHAnsi"/>
          <w:b/>
          <w:bCs/>
          <w:sz w:val="20"/>
          <w:szCs w:val="20"/>
        </w:rPr>
      </w:pPr>
    </w:p>
    <w:p w14:paraId="0D90EBB8" w14:textId="77777777" w:rsidR="00D075BF" w:rsidRPr="0096210C" w:rsidRDefault="00D075BF" w:rsidP="00763137">
      <w:pPr>
        <w:shd w:val="clear" w:color="auto" w:fill="7DE3FF"/>
        <w:ind w:left="709" w:right="970"/>
        <w:rPr>
          <w:rFonts w:asciiTheme="minorHAnsi" w:hAnsiTheme="minorHAnsi" w:cstheme="minorHAnsi"/>
          <w:i/>
          <w:iCs/>
          <w:sz w:val="20"/>
          <w:szCs w:val="20"/>
        </w:rPr>
      </w:pPr>
      <w:r w:rsidRPr="0096210C">
        <w:rPr>
          <w:rFonts w:asciiTheme="minorHAnsi" w:hAnsiTheme="minorHAnsi" w:cstheme="minorHAnsi"/>
          <w:i/>
          <w:iCs/>
          <w:sz w:val="20"/>
          <w:szCs w:val="20"/>
        </w:rPr>
        <w:t xml:space="preserve"> “Students demand a paradigm shift at business schools. After strongly raising our voice in 2019, the PIR enables us now to act with the schools to achieve that deep change.” </w:t>
      </w:r>
    </w:p>
    <w:p w14:paraId="0BAF9D9B" w14:textId="77777777" w:rsidR="00D075BF" w:rsidRPr="0096210C" w:rsidRDefault="00D075BF" w:rsidP="00763137">
      <w:pPr>
        <w:shd w:val="clear" w:color="auto" w:fill="7DE3FF"/>
        <w:tabs>
          <w:tab w:val="right" w:pos="8647"/>
        </w:tabs>
        <w:ind w:left="709" w:right="970"/>
        <w:rPr>
          <w:rFonts w:asciiTheme="minorHAnsi" w:hAnsiTheme="minorHAnsi" w:cstheme="minorHAnsi"/>
          <w:i/>
          <w:iCs/>
          <w:sz w:val="20"/>
          <w:szCs w:val="20"/>
        </w:rPr>
      </w:pPr>
      <w:r w:rsidRPr="0096210C">
        <w:rPr>
          <w:rFonts w:asciiTheme="minorHAnsi" w:hAnsiTheme="minorHAnsi" w:cstheme="minorHAnsi"/>
          <w:i/>
          <w:iCs/>
          <w:sz w:val="20"/>
          <w:szCs w:val="20"/>
        </w:rPr>
        <w:tab/>
        <w:t>Clémentine Robert, President oikos International.</w:t>
      </w:r>
    </w:p>
    <w:p w14:paraId="4E3C8F0A" w14:textId="04484415" w:rsidR="003F0CD0" w:rsidRPr="0096210C" w:rsidRDefault="003F0CD0" w:rsidP="0005655F">
      <w:pPr>
        <w:rPr>
          <w:rFonts w:asciiTheme="minorHAnsi" w:hAnsiTheme="minorHAnsi" w:cstheme="minorHAnsi"/>
          <w:b/>
          <w:bCs/>
          <w:sz w:val="20"/>
          <w:szCs w:val="20"/>
        </w:rPr>
      </w:pPr>
    </w:p>
    <w:p w14:paraId="73613327" w14:textId="58777F54" w:rsidR="003F0CD0" w:rsidRPr="0096210C" w:rsidRDefault="00D075BF" w:rsidP="003F0CD0">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What students want!</w:t>
      </w:r>
    </w:p>
    <w:p w14:paraId="45CC0921" w14:textId="77777777" w:rsidR="00D23129" w:rsidRPr="0096210C" w:rsidRDefault="003F0CD0" w:rsidP="00763137">
      <w:pPr>
        <w:spacing w:after="120"/>
        <w:rPr>
          <w:rFonts w:asciiTheme="minorHAnsi" w:hAnsiTheme="minorHAnsi" w:cstheme="minorHAnsi"/>
          <w:sz w:val="20"/>
          <w:szCs w:val="20"/>
        </w:rPr>
      </w:pPr>
      <w:r w:rsidRPr="0096210C">
        <w:rPr>
          <w:rFonts w:asciiTheme="minorHAnsi" w:hAnsiTheme="minorHAnsi" w:cstheme="minorHAnsi"/>
          <w:sz w:val="20"/>
          <w:szCs w:val="20"/>
        </w:rPr>
        <w:t xml:space="preserve">Students provided an incredibly wealth of constructive comments on how their schools can increase their positive impact. This rating is a further sign that 2019 was the year were the youth spoke up and the global consciousness shifted regarding not only the climate crisis but also social justice. </w:t>
      </w:r>
    </w:p>
    <w:p w14:paraId="685267A6" w14:textId="77777777" w:rsidR="00D23129" w:rsidRPr="0096210C" w:rsidRDefault="003F0CD0" w:rsidP="00763137">
      <w:pPr>
        <w:spacing w:after="120"/>
        <w:rPr>
          <w:rFonts w:asciiTheme="minorHAnsi" w:hAnsiTheme="minorHAnsi" w:cstheme="minorHAnsi"/>
          <w:sz w:val="20"/>
          <w:szCs w:val="20"/>
        </w:rPr>
      </w:pPr>
      <w:r w:rsidRPr="0096210C">
        <w:rPr>
          <w:rFonts w:asciiTheme="minorHAnsi" w:hAnsiTheme="minorHAnsi" w:cstheme="minorHAnsi"/>
          <w:sz w:val="20"/>
          <w:szCs w:val="20"/>
        </w:rPr>
        <w:t xml:space="preserve">Students are very clear in what they want their schools to </w:t>
      </w:r>
      <w:r w:rsidRPr="0096210C">
        <w:rPr>
          <w:rFonts w:asciiTheme="minorHAnsi" w:hAnsiTheme="minorHAnsi" w:cstheme="minorHAnsi"/>
          <w:b/>
          <w:bCs/>
          <w:color w:val="0084A8"/>
          <w:sz w:val="20"/>
          <w:szCs w:val="20"/>
        </w:rPr>
        <w:t>STOP</w:t>
      </w:r>
      <w:r w:rsidRPr="0096210C">
        <w:rPr>
          <w:rFonts w:asciiTheme="minorHAnsi" w:hAnsiTheme="minorHAnsi" w:cstheme="minorHAnsi"/>
          <w:color w:val="0084A8"/>
          <w:sz w:val="20"/>
          <w:szCs w:val="20"/>
        </w:rPr>
        <w:t xml:space="preserve"> </w:t>
      </w:r>
      <w:r w:rsidRPr="0096210C">
        <w:rPr>
          <w:rFonts w:asciiTheme="minorHAnsi" w:hAnsiTheme="minorHAnsi" w:cstheme="minorHAnsi"/>
          <w:b/>
          <w:bCs/>
          <w:color w:val="0084A8"/>
          <w:sz w:val="20"/>
          <w:szCs w:val="20"/>
        </w:rPr>
        <w:t>doing</w:t>
      </w:r>
      <w:r w:rsidRPr="0096210C">
        <w:rPr>
          <w:rFonts w:asciiTheme="minorHAnsi" w:hAnsiTheme="minorHAnsi" w:cstheme="minorHAnsi"/>
          <w:color w:val="0084A8"/>
          <w:sz w:val="20"/>
          <w:szCs w:val="20"/>
        </w:rPr>
        <w:t xml:space="preserve">: </w:t>
      </w:r>
      <w:r w:rsidRPr="0096210C">
        <w:rPr>
          <w:rFonts w:asciiTheme="minorHAnsi" w:hAnsiTheme="minorHAnsi" w:cstheme="minorHAnsi"/>
          <w:sz w:val="20"/>
          <w:szCs w:val="20"/>
        </w:rPr>
        <w:t xml:space="preserve">1) Stop investing in fossil fuels; 2) Stop treating sustainability &amp; social entrepreneurship as second-class topics; 3) Stop partnering and accepting funds from unethical companies and individuals; 4) Stop hiring professors who do not care about doing good, 5) Stop emphasizing profit maximization, 6) Stop flying students abroad for a course just because it’s cool to do so. </w:t>
      </w:r>
    </w:p>
    <w:p w14:paraId="72F45780" w14:textId="3C5F273E" w:rsidR="003F0CD0" w:rsidRPr="0096210C" w:rsidRDefault="003F0CD0" w:rsidP="00763137">
      <w:pPr>
        <w:rPr>
          <w:rFonts w:asciiTheme="minorHAnsi" w:hAnsiTheme="minorHAnsi" w:cstheme="minorHAnsi"/>
          <w:sz w:val="20"/>
          <w:szCs w:val="20"/>
        </w:rPr>
      </w:pPr>
      <w:r w:rsidRPr="0096210C">
        <w:rPr>
          <w:rFonts w:asciiTheme="minorHAnsi" w:hAnsiTheme="minorHAnsi" w:cstheme="minorHAnsi"/>
          <w:sz w:val="20"/>
          <w:szCs w:val="20"/>
        </w:rPr>
        <w:t xml:space="preserve">There is also global consensus on what they want their schools to </w:t>
      </w:r>
      <w:r w:rsidRPr="0096210C">
        <w:rPr>
          <w:rFonts w:asciiTheme="minorHAnsi" w:hAnsiTheme="minorHAnsi" w:cstheme="minorHAnsi"/>
          <w:b/>
          <w:bCs/>
          <w:color w:val="0084A8"/>
          <w:sz w:val="20"/>
          <w:szCs w:val="20"/>
        </w:rPr>
        <w:t>START</w:t>
      </w:r>
      <w:r w:rsidRPr="0096210C">
        <w:rPr>
          <w:rFonts w:asciiTheme="minorHAnsi" w:hAnsiTheme="minorHAnsi" w:cstheme="minorHAnsi"/>
          <w:color w:val="0084A8"/>
          <w:sz w:val="20"/>
          <w:szCs w:val="20"/>
        </w:rPr>
        <w:t xml:space="preserve"> </w:t>
      </w:r>
      <w:r w:rsidRPr="0096210C">
        <w:rPr>
          <w:rFonts w:asciiTheme="minorHAnsi" w:hAnsiTheme="minorHAnsi" w:cstheme="minorHAnsi"/>
          <w:b/>
          <w:bCs/>
          <w:color w:val="0084A8"/>
          <w:sz w:val="20"/>
          <w:szCs w:val="20"/>
        </w:rPr>
        <w:t>doing</w:t>
      </w:r>
      <w:r w:rsidRPr="0096210C">
        <w:rPr>
          <w:rFonts w:asciiTheme="minorHAnsi" w:hAnsiTheme="minorHAnsi" w:cstheme="minorHAnsi"/>
          <w:color w:val="0084A8"/>
          <w:sz w:val="20"/>
          <w:szCs w:val="20"/>
        </w:rPr>
        <w:t xml:space="preserve">: </w:t>
      </w:r>
      <w:r w:rsidRPr="0096210C">
        <w:rPr>
          <w:rFonts w:asciiTheme="minorHAnsi" w:hAnsiTheme="minorHAnsi" w:cstheme="minorHAnsi"/>
          <w:sz w:val="20"/>
          <w:szCs w:val="20"/>
        </w:rPr>
        <w:t xml:space="preserve">1) Make sustainability and social impact training mandatory in curricula; 2) Bring science and facts to the political debate; 3) Reduce CO2 emissions &amp; food waste; 4) Prioritize gender parity amongst students and faculty;  5) Exchange more with other schools and faculties, share good practice and evolve together; 6) Rename the school to underline the social mission of business education. </w:t>
      </w:r>
    </w:p>
    <w:p w14:paraId="29861643" w14:textId="77777777" w:rsidR="00D075BF" w:rsidRPr="0096210C" w:rsidRDefault="00D075BF" w:rsidP="00763137">
      <w:pPr>
        <w:rPr>
          <w:rFonts w:asciiTheme="minorHAnsi" w:hAnsiTheme="minorHAnsi" w:cstheme="minorHAnsi"/>
          <w:sz w:val="20"/>
          <w:szCs w:val="20"/>
        </w:rPr>
      </w:pPr>
    </w:p>
    <w:p w14:paraId="1810C7BB" w14:textId="22B3FDF4" w:rsidR="00D075BF" w:rsidRPr="0096210C" w:rsidRDefault="006A0CEE" w:rsidP="00763137">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A tool for collaborative learning and action</w:t>
      </w:r>
    </w:p>
    <w:p w14:paraId="56CB1E09" w14:textId="77777777" w:rsidR="00D075BF" w:rsidRPr="0096210C" w:rsidRDefault="00D075BF" w:rsidP="00763137">
      <w:pPr>
        <w:rPr>
          <w:rFonts w:asciiTheme="minorHAnsi" w:hAnsiTheme="minorHAnsi" w:cstheme="minorHAnsi"/>
          <w:sz w:val="20"/>
          <w:szCs w:val="20"/>
        </w:rPr>
      </w:pPr>
      <w:r w:rsidRPr="0096210C">
        <w:rPr>
          <w:rFonts w:asciiTheme="minorHAnsi" w:hAnsiTheme="minorHAnsi" w:cstheme="minorHAnsi"/>
          <w:sz w:val="20"/>
          <w:szCs w:val="20"/>
        </w:rPr>
        <w:t xml:space="preserve">The purpose of the positive impact rating is to enable learning at and across schools, rather than creating a competitive ranking. A rating offers the safety of groups rather than individual ranks and intends to foster collaboration. Schools therefore are positioned in five different levels, where they are featured alphabetically. Students and the management of each participating school receive free online access to a dashboard featuring their school’s results across the different </w:t>
      </w:r>
      <w:r w:rsidRPr="0096210C">
        <w:rPr>
          <w:rFonts w:asciiTheme="minorHAnsi" w:hAnsiTheme="minorHAnsi" w:cstheme="minorHAnsi"/>
          <w:sz w:val="20"/>
          <w:szCs w:val="20"/>
        </w:rPr>
        <w:lastRenderedPageBreak/>
        <w:t xml:space="preserve">areas in comparison with the average of all schools. This allows them to actively work towards increasing their positive impact. Some students have reported that meetings are already scheduled with school management. </w:t>
      </w:r>
    </w:p>
    <w:p w14:paraId="17805227" w14:textId="77777777" w:rsidR="002D3D7A" w:rsidRPr="0096210C" w:rsidRDefault="002D3D7A" w:rsidP="0005655F">
      <w:pPr>
        <w:rPr>
          <w:rFonts w:asciiTheme="minorHAnsi" w:hAnsiTheme="minorHAnsi" w:cstheme="minorHAnsi"/>
          <w:b/>
          <w:bCs/>
          <w:sz w:val="20"/>
          <w:szCs w:val="20"/>
        </w:rPr>
      </w:pPr>
    </w:p>
    <w:tbl>
      <w:tblPr>
        <w:tblpPr w:leftFromText="181" w:rightFromText="181" w:vertAnchor="text" w:tblpY="1"/>
        <w:tblW w:w="3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2515"/>
      </w:tblGrid>
      <w:tr w:rsidR="00D075BF" w:rsidRPr="0096210C" w14:paraId="1A147F00" w14:textId="77777777" w:rsidTr="00C56B4E">
        <w:trPr>
          <w:trHeight w:val="37"/>
        </w:trPr>
        <w:tc>
          <w:tcPr>
            <w:tcW w:w="1129" w:type="dxa"/>
            <w:shd w:val="clear" w:color="auto" w:fill="0084A8"/>
            <w:tcMar>
              <w:top w:w="100" w:type="dxa"/>
              <w:left w:w="100" w:type="dxa"/>
              <w:bottom w:w="100" w:type="dxa"/>
              <w:right w:w="100" w:type="dxa"/>
            </w:tcMar>
          </w:tcPr>
          <w:p w14:paraId="494C1596" w14:textId="77777777" w:rsidR="00D075BF" w:rsidRPr="0096210C" w:rsidRDefault="00D075BF" w:rsidP="00C56B4E">
            <w:pPr>
              <w:rPr>
                <w:rFonts w:asciiTheme="minorHAnsi" w:hAnsiTheme="minorHAnsi" w:cstheme="minorHAnsi"/>
                <w:b/>
                <w:bCs/>
                <w:color w:val="FFFFFF" w:themeColor="background1"/>
              </w:rPr>
            </w:pPr>
            <w:r w:rsidRPr="0096210C">
              <w:rPr>
                <w:rFonts w:asciiTheme="minorHAnsi" w:hAnsiTheme="minorHAnsi" w:cstheme="minorHAnsi"/>
                <w:b/>
                <w:bCs/>
                <w:color w:val="FFFFFF" w:themeColor="background1"/>
              </w:rPr>
              <w:t>Areas</w:t>
            </w:r>
          </w:p>
        </w:tc>
        <w:tc>
          <w:tcPr>
            <w:tcW w:w="2515" w:type="dxa"/>
            <w:shd w:val="clear" w:color="auto" w:fill="0084A8"/>
            <w:tcMar>
              <w:top w:w="100" w:type="dxa"/>
              <w:left w:w="100" w:type="dxa"/>
              <w:bottom w:w="100" w:type="dxa"/>
              <w:right w:w="100" w:type="dxa"/>
            </w:tcMar>
          </w:tcPr>
          <w:p w14:paraId="06E4FEED" w14:textId="77777777" w:rsidR="00D075BF" w:rsidRPr="0096210C" w:rsidRDefault="00D075BF" w:rsidP="00C56B4E">
            <w:pPr>
              <w:rPr>
                <w:rFonts w:asciiTheme="minorHAnsi" w:hAnsiTheme="minorHAnsi" w:cstheme="minorHAnsi"/>
                <w:b/>
                <w:bCs/>
                <w:color w:val="FFFFFF" w:themeColor="background1"/>
              </w:rPr>
            </w:pPr>
            <w:r w:rsidRPr="0096210C">
              <w:rPr>
                <w:rFonts w:asciiTheme="minorHAnsi" w:hAnsiTheme="minorHAnsi" w:cstheme="minorHAnsi"/>
                <w:b/>
                <w:bCs/>
                <w:color w:val="FFFFFF" w:themeColor="background1"/>
              </w:rPr>
              <w:t>Dimensions of impact</w:t>
            </w:r>
          </w:p>
        </w:tc>
      </w:tr>
      <w:tr w:rsidR="00D075BF" w:rsidRPr="0096210C" w14:paraId="6B64F4B8" w14:textId="77777777" w:rsidTr="00C56B4E">
        <w:trPr>
          <w:trHeight w:val="299"/>
        </w:trPr>
        <w:tc>
          <w:tcPr>
            <w:tcW w:w="1129" w:type="dxa"/>
            <w:vMerge w:val="restart"/>
            <w:tcMar>
              <w:top w:w="100" w:type="dxa"/>
              <w:left w:w="100" w:type="dxa"/>
              <w:bottom w:w="100" w:type="dxa"/>
              <w:right w:w="100" w:type="dxa"/>
            </w:tcMar>
            <w:hideMark/>
          </w:tcPr>
          <w:p w14:paraId="1F58DF9F"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Energizing</w:t>
            </w:r>
          </w:p>
          <w:p w14:paraId="2F878837"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 </w:t>
            </w:r>
          </w:p>
        </w:tc>
        <w:tc>
          <w:tcPr>
            <w:tcW w:w="2515" w:type="dxa"/>
            <w:tcMar>
              <w:top w:w="100" w:type="dxa"/>
              <w:left w:w="100" w:type="dxa"/>
              <w:bottom w:w="100" w:type="dxa"/>
              <w:right w:w="100" w:type="dxa"/>
            </w:tcMar>
            <w:hideMark/>
          </w:tcPr>
          <w:p w14:paraId="7D817B52"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Governance</w:t>
            </w:r>
          </w:p>
        </w:tc>
      </w:tr>
      <w:tr w:rsidR="00D075BF" w:rsidRPr="0096210C" w14:paraId="139860A9" w14:textId="77777777" w:rsidTr="00C56B4E">
        <w:trPr>
          <w:trHeight w:val="77"/>
        </w:trPr>
        <w:tc>
          <w:tcPr>
            <w:tcW w:w="1129" w:type="dxa"/>
            <w:vMerge/>
            <w:vAlign w:val="center"/>
            <w:hideMark/>
          </w:tcPr>
          <w:p w14:paraId="1B0D2178" w14:textId="77777777" w:rsidR="00D075BF" w:rsidRPr="0096210C" w:rsidRDefault="00D075BF" w:rsidP="00C56B4E">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61C9BE5A"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Culture</w:t>
            </w:r>
          </w:p>
        </w:tc>
      </w:tr>
      <w:tr w:rsidR="00D075BF" w:rsidRPr="0096210C" w14:paraId="21749BB1" w14:textId="77777777" w:rsidTr="00C56B4E">
        <w:trPr>
          <w:trHeight w:val="58"/>
        </w:trPr>
        <w:tc>
          <w:tcPr>
            <w:tcW w:w="1129" w:type="dxa"/>
            <w:vMerge w:val="restart"/>
            <w:tcMar>
              <w:top w:w="100" w:type="dxa"/>
              <w:left w:w="100" w:type="dxa"/>
              <w:bottom w:w="100" w:type="dxa"/>
              <w:right w:w="100" w:type="dxa"/>
            </w:tcMar>
            <w:hideMark/>
          </w:tcPr>
          <w:p w14:paraId="57C0DE54"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Educating</w:t>
            </w:r>
          </w:p>
          <w:p w14:paraId="1D1E196E"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 </w:t>
            </w:r>
          </w:p>
          <w:p w14:paraId="26C24D6E"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 </w:t>
            </w:r>
          </w:p>
        </w:tc>
        <w:tc>
          <w:tcPr>
            <w:tcW w:w="2515" w:type="dxa"/>
            <w:tcMar>
              <w:top w:w="100" w:type="dxa"/>
              <w:left w:w="100" w:type="dxa"/>
              <w:bottom w:w="100" w:type="dxa"/>
              <w:right w:w="100" w:type="dxa"/>
            </w:tcMar>
            <w:hideMark/>
          </w:tcPr>
          <w:p w14:paraId="07213ED8"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Programs</w:t>
            </w:r>
          </w:p>
        </w:tc>
      </w:tr>
      <w:tr w:rsidR="00D075BF" w:rsidRPr="0096210C" w14:paraId="4D86ED77" w14:textId="77777777" w:rsidTr="00C56B4E">
        <w:trPr>
          <w:trHeight w:val="175"/>
        </w:trPr>
        <w:tc>
          <w:tcPr>
            <w:tcW w:w="1129" w:type="dxa"/>
            <w:vMerge/>
            <w:vAlign w:val="center"/>
            <w:hideMark/>
          </w:tcPr>
          <w:p w14:paraId="1185AA1F" w14:textId="77777777" w:rsidR="00D075BF" w:rsidRPr="0096210C" w:rsidRDefault="00D075BF" w:rsidP="00C56B4E">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4FDC326A"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Learning Methods</w:t>
            </w:r>
          </w:p>
        </w:tc>
      </w:tr>
      <w:tr w:rsidR="00D075BF" w:rsidRPr="0096210C" w14:paraId="7E720699" w14:textId="77777777" w:rsidTr="00C56B4E">
        <w:trPr>
          <w:trHeight w:val="153"/>
        </w:trPr>
        <w:tc>
          <w:tcPr>
            <w:tcW w:w="1129" w:type="dxa"/>
            <w:vMerge/>
            <w:vAlign w:val="center"/>
            <w:hideMark/>
          </w:tcPr>
          <w:p w14:paraId="4C50C9B8" w14:textId="77777777" w:rsidR="00D075BF" w:rsidRPr="0096210C" w:rsidRDefault="00D075BF" w:rsidP="00C56B4E">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5257695D"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Student Engagement</w:t>
            </w:r>
          </w:p>
        </w:tc>
      </w:tr>
      <w:tr w:rsidR="00D075BF" w:rsidRPr="0096210C" w14:paraId="1E1DE56E" w14:textId="77777777" w:rsidTr="00C56B4E">
        <w:trPr>
          <w:trHeight w:val="20"/>
        </w:trPr>
        <w:tc>
          <w:tcPr>
            <w:tcW w:w="1129" w:type="dxa"/>
            <w:vMerge w:val="restart"/>
            <w:tcMar>
              <w:top w:w="100" w:type="dxa"/>
              <w:left w:w="100" w:type="dxa"/>
              <w:bottom w:w="100" w:type="dxa"/>
              <w:right w:w="100" w:type="dxa"/>
            </w:tcMar>
            <w:hideMark/>
          </w:tcPr>
          <w:p w14:paraId="77741869" w14:textId="77777777" w:rsidR="00D075BF" w:rsidRPr="0096210C" w:rsidRDefault="00D075BF" w:rsidP="00C56B4E">
            <w:pPr>
              <w:rPr>
                <w:rFonts w:asciiTheme="minorHAnsi" w:hAnsiTheme="minorHAnsi" w:cstheme="minorHAnsi"/>
                <w:b/>
                <w:bCs/>
                <w:color w:val="0084A8"/>
                <w:sz w:val="24"/>
                <w:szCs w:val="24"/>
              </w:rPr>
            </w:pPr>
            <w:r w:rsidRPr="0096210C">
              <w:rPr>
                <w:rFonts w:asciiTheme="minorHAnsi" w:hAnsiTheme="minorHAnsi" w:cstheme="minorHAnsi"/>
                <w:b/>
                <w:bCs/>
                <w:color w:val="0084A8"/>
              </w:rPr>
              <w:t>Engaging</w:t>
            </w:r>
          </w:p>
        </w:tc>
        <w:tc>
          <w:tcPr>
            <w:tcW w:w="2515" w:type="dxa"/>
            <w:tcMar>
              <w:top w:w="100" w:type="dxa"/>
              <w:left w:w="100" w:type="dxa"/>
              <w:bottom w:w="100" w:type="dxa"/>
              <w:right w:w="100" w:type="dxa"/>
            </w:tcMar>
            <w:hideMark/>
          </w:tcPr>
          <w:p w14:paraId="3BD965A9" w14:textId="77777777" w:rsidR="00D075BF" w:rsidRPr="0096210C" w:rsidRDefault="00D075BF" w:rsidP="00C56B4E">
            <w:pPr>
              <w:rPr>
                <w:rFonts w:asciiTheme="minorHAnsi" w:hAnsiTheme="minorHAnsi" w:cstheme="minorHAnsi"/>
                <w:sz w:val="24"/>
                <w:szCs w:val="24"/>
              </w:rPr>
            </w:pPr>
            <w:r w:rsidRPr="0096210C">
              <w:rPr>
                <w:rFonts w:asciiTheme="minorHAnsi" w:hAnsiTheme="minorHAnsi" w:cstheme="minorHAnsi"/>
              </w:rPr>
              <w:t>Institution as a role model</w:t>
            </w:r>
          </w:p>
        </w:tc>
      </w:tr>
      <w:tr w:rsidR="00D075BF" w:rsidRPr="0096210C" w14:paraId="7A73864F" w14:textId="77777777" w:rsidTr="00C56B4E">
        <w:trPr>
          <w:trHeight w:val="20"/>
        </w:trPr>
        <w:tc>
          <w:tcPr>
            <w:tcW w:w="1129" w:type="dxa"/>
            <w:vMerge/>
            <w:vAlign w:val="center"/>
            <w:hideMark/>
          </w:tcPr>
          <w:p w14:paraId="7BF7690D" w14:textId="77777777" w:rsidR="00D075BF" w:rsidRPr="0096210C" w:rsidRDefault="00D075BF" w:rsidP="00C56B4E">
            <w:pPr>
              <w:rPr>
                <w:rFonts w:asciiTheme="minorHAnsi" w:hAnsiTheme="minorHAnsi" w:cstheme="minorHAnsi"/>
              </w:rPr>
            </w:pPr>
          </w:p>
        </w:tc>
        <w:tc>
          <w:tcPr>
            <w:tcW w:w="2515" w:type="dxa"/>
            <w:tcMar>
              <w:top w:w="100" w:type="dxa"/>
              <w:left w:w="100" w:type="dxa"/>
              <w:bottom w:w="100" w:type="dxa"/>
              <w:right w:w="100" w:type="dxa"/>
            </w:tcMar>
            <w:hideMark/>
          </w:tcPr>
          <w:p w14:paraId="5D860B7C" w14:textId="77777777" w:rsidR="00D075BF" w:rsidRPr="0096210C" w:rsidRDefault="00D075BF" w:rsidP="00C56B4E">
            <w:pPr>
              <w:rPr>
                <w:rFonts w:asciiTheme="minorHAnsi" w:hAnsiTheme="minorHAnsi" w:cstheme="minorHAnsi"/>
              </w:rPr>
            </w:pPr>
            <w:r w:rsidRPr="0096210C">
              <w:rPr>
                <w:rFonts w:asciiTheme="minorHAnsi" w:hAnsiTheme="minorHAnsi" w:cstheme="minorHAnsi"/>
              </w:rPr>
              <w:t>Public Engagement</w:t>
            </w:r>
          </w:p>
        </w:tc>
      </w:tr>
    </w:tbl>
    <w:p w14:paraId="67DCCE05" w14:textId="4BB73232" w:rsidR="00DE196B" w:rsidRPr="0096210C" w:rsidRDefault="006624F7" w:rsidP="00763137">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How to m</w:t>
      </w:r>
      <w:r w:rsidR="00DE196B" w:rsidRPr="0096210C">
        <w:rPr>
          <w:rFonts w:asciiTheme="minorHAnsi" w:hAnsiTheme="minorHAnsi" w:cstheme="minorHAnsi"/>
          <w:b/>
          <w:bCs/>
          <w:color w:val="0084A8"/>
          <w:sz w:val="22"/>
        </w:rPr>
        <w:t>easur</w:t>
      </w:r>
      <w:r w:rsidRPr="0096210C">
        <w:rPr>
          <w:rFonts w:asciiTheme="minorHAnsi" w:hAnsiTheme="minorHAnsi" w:cstheme="minorHAnsi"/>
          <w:b/>
          <w:bCs/>
          <w:color w:val="0084A8"/>
          <w:sz w:val="22"/>
        </w:rPr>
        <w:t xml:space="preserve">e </w:t>
      </w:r>
      <w:r w:rsidR="00DE196B" w:rsidRPr="0096210C">
        <w:rPr>
          <w:rFonts w:asciiTheme="minorHAnsi" w:hAnsiTheme="minorHAnsi" w:cstheme="minorHAnsi"/>
          <w:b/>
          <w:bCs/>
          <w:color w:val="0084A8"/>
          <w:sz w:val="22"/>
        </w:rPr>
        <w:t>the impact of business schools</w:t>
      </w:r>
      <w:r w:rsidR="00D075BF" w:rsidRPr="0096210C">
        <w:rPr>
          <w:rFonts w:asciiTheme="minorHAnsi" w:hAnsiTheme="minorHAnsi" w:cstheme="minorHAnsi"/>
          <w:b/>
          <w:bCs/>
          <w:color w:val="0084A8"/>
          <w:sz w:val="22"/>
        </w:rPr>
        <w:t>?</w:t>
      </w:r>
    </w:p>
    <w:p w14:paraId="2FCB1C28" w14:textId="7BC9FF00" w:rsidR="0098485E" w:rsidRPr="0096210C" w:rsidRDefault="005C6B5D" w:rsidP="00763137">
      <w:pPr>
        <w:rPr>
          <w:rFonts w:asciiTheme="minorHAnsi" w:hAnsiTheme="minorHAnsi" w:cstheme="minorHAnsi"/>
          <w:sz w:val="20"/>
          <w:szCs w:val="20"/>
        </w:rPr>
      </w:pPr>
      <w:r w:rsidRPr="0096210C">
        <w:rPr>
          <w:rFonts w:asciiTheme="minorHAnsi" w:hAnsiTheme="minorHAnsi" w:cstheme="minorHAnsi"/>
          <w:sz w:val="20"/>
          <w:szCs w:val="20"/>
        </w:rPr>
        <w:t xml:space="preserve">The ambition of this rating is to be a lever of change in the much-needed deep transformation of business schools. Rankings have become increasingly important and this rating builds on </w:t>
      </w:r>
      <w:r w:rsidR="0024658B" w:rsidRPr="0096210C">
        <w:rPr>
          <w:rFonts w:asciiTheme="minorHAnsi" w:hAnsiTheme="minorHAnsi" w:cstheme="minorHAnsi"/>
          <w:sz w:val="20"/>
          <w:szCs w:val="20"/>
        </w:rPr>
        <w:t>this phenomenon</w:t>
      </w:r>
      <w:r w:rsidR="006624F7" w:rsidRPr="0096210C">
        <w:rPr>
          <w:rFonts w:asciiTheme="minorHAnsi" w:hAnsiTheme="minorHAnsi" w:cstheme="minorHAnsi"/>
          <w:sz w:val="20"/>
          <w:szCs w:val="20"/>
        </w:rPr>
        <w:t xml:space="preserve"> </w:t>
      </w:r>
      <w:r w:rsidRPr="0096210C">
        <w:rPr>
          <w:rFonts w:asciiTheme="minorHAnsi" w:hAnsiTheme="minorHAnsi" w:cstheme="minorHAnsi"/>
          <w:sz w:val="20"/>
          <w:szCs w:val="20"/>
        </w:rPr>
        <w:t xml:space="preserve">by offering a new and </w:t>
      </w:r>
      <w:r w:rsidR="006624F7" w:rsidRPr="0096210C">
        <w:rPr>
          <w:rFonts w:asciiTheme="minorHAnsi" w:hAnsiTheme="minorHAnsi" w:cstheme="minorHAnsi"/>
          <w:sz w:val="20"/>
          <w:szCs w:val="20"/>
        </w:rPr>
        <w:t xml:space="preserve">hopefully </w:t>
      </w:r>
      <w:r w:rsidRPr="0096210C">
        <w:rPr>
          <w:rFonts w:asciiTheme="minorHAnsi" w:hAnsiTheme="minorHAnsi" w:cstheme="minorHAnsi"/>
          <w:sz w:val="20"/>
          <w:szCs w:val="20"/>
        </w:rPr>
        <w:t>better way to assess business schools in the 21</w:t>
      </w:r>
      <w:r w:rsidRPr="0096210C">
        <w:rPr>
          <w:rFonts w:asciiTheme="minorHAnsi" w:hAnsiTheme="minorHAnsi" w:cstheme="minorHAnsi"/>
          <w:sz w:val="20"/>
          <w:szCs w:val="20"/>
          <w:vertAlign w:val="superscript"/>
        </w:rPr>
        <w:t>st</w:t>
      </w:r>
      <w:r w:rsidRPr="0096210C">
        <w:rPr>
          <w:rFonts w:asciiTheme="minorHAnsi" w:hAnsiTheme="minorHAnsi" w:cstheme="minorHAnsi"/>
          <w:sz w:val="20"/>
          <w:szCs w:val="20"/>
        </w:rPr>
        <w:t xml:space="preserve"> century. </w:t>
      </w:r>
      <w:r w:rsidR="00DE196B" w:rsidRPr="0096210C">
        <w:rPr>
          <w:rFonts w:asciiTheme="minorHAnsi" w:hAnsiTheme="minorHAnsi" w:cstheme="minorHAnsi"/>
          <w:sz w:val="20"/>
          <w:szCs w:val="20"/>
        </w:rPr>
        <w:t xml:space="preserve">The impact of business schools is measured in three areas (energizing, educating, and engaging) which are further divided into seven dimensions </w:t>
      </w:r>
      <w:r w:rsidR="0004556D" w:rsidRPr="0096210C">
        <w:rPr>
          <w:rFonts w:asciiTheme="minorHAnsi" w:hAnsiTheme="minorHAnsi" w:cstheme="minorHAnsi"/>
          <w:sz w:val="20"/>
          <w:szCs w:val="20"/>
        </w:rPr>
        <w:t xml:space="preserve">(see table). These dimensions </w:t>
      </w:r>
      <w:r w:rsidRPr="0096210C">
        <w:rPr>
          <w:rFonts w:asciiTheme="minorHAnsi" w:hAnsiTheme="minorHAnsi" w:cstheme="minorHAnsi"/>
          <w:sz w:val="20"/>
          <w:szCs w:val="20"/>
        </w:rPr>
        <w:t>include assessing the programs offer</w:t>
      </w:r>
      <w:r w:rsidR="0098485E" w:rsidRPr="0096210C">
        <w:rPr>
          <w:rFonts w:asciiTheme="minorHAnsi" w:hAnsiTheme="minorHAnsi" w:cstheme="minorHAnsi"/>
          <w:sz w:val="20"/>
          <w:szCs w:val="20"/>
        </w:rPr>
        <w:t>ed</w:t>
      </w:r>
      <w:r w:rsidRPr="0096210C">
        <w:rPr>
          <w:rFonts w:asciiTheme="minorHAnsi" w:hAnsiTheme="minorHAnsi" w:cstheme="minorHAnsi"/>
          <w:sz w:val="20"/>
          <w:szCs w:val="20"/>
        </w:rPr>
        <w:t xml:space="preserve"> and the learning methods use</w:t>
      </w:r>
      <w:r w:rsidR="0098485E" w:rsidRPr="0096210C">
        <w:rPr>
          <w:rFonts w:asciiTheme="minorHAnsi" w:hAnsiTheme="minorHAnsi" w:cstheme="minorHAnsi"/>
          <w:sz w:val="20"/>
          <w:szCs w:val="20"/>
        </w:rPr>
        <w:t xml:space="preserve">d, </w:t>
      </w:r>
      <w:r w:rsidR="006624F7" w:rsidRPr="0096210C">
        <w:rPr>
          <w:rFonts w:asciiTheme="minorHAnsi" w:hAnsiTheme="minorHAnsi" w:cstheme="minorHAnsi"/>
          <w:sz w:val="20"/>
          <w:szCs w:val="20"/>
        </w:rPr>
        <w:t>and</w:t>
      </w:r>
      <w:r w:rsidRPr="0096210C">
        <w:rPr>
          <w:rFonts w:asciiTheme="minorHAnsi" w:hAnsiTheme="minorHAnsi" w:cstheme="minorHAnsi"/>
          <w:sz w:val="20"/>
          <w:szCs w:val="20"/>
        </w:rPr>
        <w:t xml:space="preserve"> how students </w:t>
      </w:r>
      <w:r w:rsidR="0098485E" w:rsidRPr="0096210C">
        <w:rPr>
          <w:rFonts w:asciiTheme="minorHAnsi" w:hAnsiTheme="minorHAnsi" w:cstheme="minorHAnsi"/>
          <w:sz w:val="20"/>
          <w:szCs w:val="20"/>
        </w:rPr>
        <w:t xml:space="preserve">actively </w:t>
      </w:r>
      <w:r w:rsidRPr="0096210C">
        <w:rPr>
          <w:rFonts w:asciiTheme="minorHAnsi" w:hAnsiTheme="minorHAnsi" w:cstheme="minorHAnsi"/>
          <w:sz w:val="20"/>
          <w:szCs w:val="20"/>
        </w:rPr>
        <w:t xml:space="preserve">engage. It </w:t>
      </w:r>
      <w:r w:rsidR="0098485E" w:rsidRPr="0096210C">
        <w:rPr>
          <w:rFonts w:asciiTheme="minorHAnsi" w:hAnsiTheme="minorHAnsi" w:cstheme="minorHAnsi"/>
          <w:sz w:val="20"/>
          <w:szCs w:val="20"/>
        </w:rPr>
        <w:t xml:space="preserve">assesses </w:t>
      </w:r>
      <w:r w:rsidRPr="0096210C">
        <w:rPr>
          <w:rFonts w:asciiTheme="minorHAnsi" w:hAnsiTheme="minorHAnsi" w:cstheme="minorHAnsi"/>
          <w:sz w:val="20"/>
          <w:szCs w:val="20"/>
        </w:rPr>
        <w:t>a school’s culture and governance</w:t>
      </w:r>
      <w:r w:rsidR="0098485E" w:rsidRPr="0096210C">
        <w:rPr>
          <w:rFonts w:asciiTheme="minorHAnsi" w:hAnsiTheme="minorHAnsi" w:cstheme="minorHAnsi"/>
          <w:sz w:val="20"/>
          <w:szCs w:val="20"/>
        </w:rPr>
        <w:t>,</w:t>
      </w:r>
      <w:r w:rsidRPr="0096210C">
        <w:rPr>
          <w:rFonts w:asciiTheme="minorHAnsi" w:hAnsiTheme="minorHAnsi" w:cstheme="minorHAnsi"/>
          <w:sz w:val="20"/>
          <w:szCs w:val="20"/>
        </w:rPr>
        <w:t xml:space="preserve"> which are predictors </w:t>
      </w:r>
      <w:r w:rsidR="0098485E" w:rsidRPr="0096210C">
        <w:rPr>
          <w:rFonts w:asciiTheme="minorHAnsi" w:hAnsiTheme="minorHAnsi" w:cstheme="minorHAnsi"/>
          <w:sz w:val="20"/>
          <w:szCs w:val="20"/>
        </w:rPr>
        <w:t xml:space="preserve">for </w:t>
      </w:r>
      <w:r w:rsidRPr="0096210C">
        <w:rPr>
          <w:rFonts w:asciiTheme="minorHAnsi" w:hAnsiTheme="minorHAnsi" w:cstheme="minorHAnsi"/>
          <w:sz w:val="20"/>
          <w:szCs w:val="20"/>
        </w:rPr>
        <w:t>becom</w:t>
      </w:r>
      <w:r w:rsidR="0098485E" w:rsidRPr="0096210C">
        <w:rPr>
          <w:rFonts w:asciiTheme="minorHAnsi" w:hAnsiTheme="minorHAnsi" w:cstheme="minorHAnsi"/>
          <w:sz w:val="20"/>
          <w:szCs w:val="20"/>
        </w:rPr>
        <w:t>ing</w:t>
      </w:r>
      <w:r w:rsidRPr="0096210C">
        <w:rPr>
          <w:rFonts w:asciiTheme="minorHAnsi" w:hAnsiTheme="minorHAnsi" w:cstheme="minorHAnsi"/>
          <w:sz w:val="20"/>
          <w:szCs w:val="20"/>
        </w:rPr>
        <w:t xml:space="preserve"> a positive impact school. </w:t>
      </w:r>
      <w:r w:rsidR="0098485E" w:rsidRPr="0096210C">
        <w:rPr>
          <w:rFonts w:asciiTheme="minorHAnsi" w:hAnsiTheme="minorHAnsi" w:cstheme="minorHAnsi"/>
          <w:sz w:val="20"/>
          <w:szCs w:val="20"/>
        </w:rPr>
        <w:t xml:space="preserve">And it looks at </w:t>
      </w:r>
      <w:r w:rsidRPr="0096210C">
        <w:rPr>
          <w:rFonts w:asciiTheme="minorHAnsi" w:hAnsiTheme="minorHAnsi" w:cstheme="minorHAnsi"/>
          <w:sz w:val="20"/>
          <w:szCs w:val="20"/>
        </w:rPr>
        <w:t xml:space="preserve">how members of the school </w:t>
      </w:r>
      <w:r w:rsidR="0098485E" w:rsidRPr="0096210C">
        <w:rPr>
          <w:rFonts w:asciiTheme="minorHAnsi" w:hAnsiTheme="minorHAnsi" w:cstheme="minorHAnsi"/>
          <w:sz w:val="20"/>
          <w:szCs w:val="20"/>
        </w:rPr>
        <w:t xml:space="preserve">are seen to </w:t>
      </w:r>
      <w:r w:rsidRPr="0096210C">
        <w:rPr>
          <w:rFonts w:asciiTheme="minorHAnsi" w:hAnsiTheme="minorHAnsi" w:cstheme="minorHAnsi"/>
          <w:sz w:val="20"/>
          <w:szCs w:val="20"/>
        </w:rPr>
        <w:t xml:space="preserve">engage in public </w:t>
      </w:r>
      <w:r w:rsidR="0098485E" w:rsidRPr="0096210C">
        <w:rPr>
          <w:rFonts w:asciiTheme="minorHAnsi" w:hAnsiTheme="minorHAnsi" w:cstheme="minorHAnsi"/>
          <w:sz w:val="20"/>
          <w:szCs w:val="20"/>
        </w:rPr>
        <w:t xml:space="preserve">as well as how </w:t>
      </w:r>
      <w:r w:rsidRPr="0096210C">
        <w:rPr>
          <w:rFonts w:asciiTheme="minorHAnsi" w:hAnsiTheme="minorHAnsi" w:cstheme="minorHAnsi"/>
          <w:sz w:val="20"/>
          <w:szCs w:val="20"/>
        </w:rPr>
        <w:t xml:space="preserve">the school </w:t>
      </w:r>
      <w:r w:rsidR="0098485E" w:rsidRPr="0096210C">
        <w:rPr>
          <w:rFonts w:asciiTheme="minorHAnsi" w:hAnsiTheme="minorHAnsi" w:cstheme="minorHAnsi"/>
          <w:sz w:val="20"/>
          <w:szCs w:val="20"/>
        </w:rPr>
        <w:t xml:space="preserve">is seen as serving as </w:t>
      </w:r>
      <w:r w:rsidRPr="0096210C">
        <w:rPr>
          <w:rFonts w:asciiTheme="minorHAnsi" w:hAnsiTheme="minorHAnsi" w:cstheme="minorHAnsi"/>
          <w:sz w:val="20"/>
          <w:szCs w:val="20"/>
        </w:rPr>
        <w:t xml:space="preserve">a role model in the eyes of students. </w:t>
      </w:r>
    </w:p>
    <w:p w14:paraId="4A21E2C3" w14:textId="77777777" w:rsidR="003F0CD0" w:rsidRPr="0096210C" w:rsidRDefault="003F0CD0" w:rsidP="00763137">
      <w:pPr>
        <w:rPr>
          <w:rFonts w:asciiTheme="minorHAnsi" w:hAnsiTheme="minorHAnsi" w:cstheme="minorHAnsi"/>
          <w:sz w:val="20"/>
          <w:szCs w:val="20"/>
        </w:rPr>
      </w:pPr>
    </w:p>
    <w:p w14:paraId="024EA3B5" w14:textId="75AE7F3E" w:rsidR="0004087F" w:rsidRPr="0096210C" w:rsidRDefault="006624F7" w:rsidP="00763137">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How the participating schools perform</w:t>
      </w:r>
    </w:p>
    <w:p w14:paraId="556252A3" w14:textId="47A22492" w:rsidR="00B224B8" w:rsidRPr="0096210C" w:rsidRDefault="0004087F" w:rsidP="00763137">
      <w:pPr>
        <w:spacing w:after="120"/>
        <w:rPr>
          <w:rFonts w:asciiTheme="minorHAnsi" w:hAnsiTheme="minorHAnsi" w:cstheme="minorHAnsi"/>
          <w:sz w:val="20"/>
          <w:szCs w:val="20"/>
        </w:rPr>
      </w:pPr>
      <w:r w:rsidRPr="0096210C">
        <w:rPr>
          <w:rFonts w:asciiTheme="minorHAnsi" w:hAnsiTheme="minorHAnsi" w:cstheme="minorHAnsi"/>
          <w:sz w:val="20"/>
          <w:szCs w:val="20"/>
        </w:rPr>
        <w:t>In this first edition of the Positive Impact Rating, we set out to learn from a varied set of top schools around the world. For this, international student organizations reached out to</w:t>
      </w:r>
      <w:r w:rsidR="005F3BBA" w:rsidRPr="0096210C">
        <w:rPr>
          <w:rFonts w:asciiTheme="minorHAnsi" w:hAnsiTheme="minorHAnsi" w:cstheme="minorHAnsi"/>
          <w:sz w:val="20"/>
          <w:szCs w:val="20"/>
        </w:rPr>
        <w:t xml:space="preserve"> students at</w:t>
      </w:r>
      <w:r w:rsidRPr="0096210C">
        <w:rPr>
          <w:rFonts w:asciiTheme="minorHAnsi" w:hAnsiTheme="minorHAnsi" w:cstheme="minorHAnsi"/>
          <w:sz w:val="20"/>
          <w:szCs w:val="20"/>
        </w:rPr>
        <w:t xml:space="preserve"> the top 50 schools in </w:t>
      </w:r>
      <w:r w:rsidR="00B224B8" w:rsidRPr="0096210C">
        <w:rPr>
          <w:rFonts w:asciiTheme="minorHAnsi" w:hAnsiTheme="minorHAnsi" w:cstheme="minorHAnsi"/>
          <w:sz w:val="20"/>
          <w:szCs w:val="20"/>
        </w:rPr>
        <w:t xml:space="preserve">the </w:t>
      </w:r>
      <w:r w:rsidRPr="0096210C">
        <w:rPr>
          <w:rFonts w:asciiTheme="minorHAnsi" w:hAnsiTheme="minorHAnsi" w:cstheme="minorHAnsi"/>
          <w:sz w:val="20"/>
          <w:szCs w:val="20"/>
        </w:rPr>
        <w:t>Financial Times Master</w:t>
      </w:r>
      <w:r w:rsidR="00B224B8" w:rsidRPr="0096210C">
        <w:rPr>
          <w:rFonts w:asciiTheme="minorHAnsi" w:hAnsiTheme="minorHAnsi" w:cstheme="minorHAnsi"/>
          <w:sz w:val="20"/>
          <w:szCs w:val="20"/>
        </w:rPr>
        <w:t>s</w:t>
      </w:r>
      <w:r w:rsidRPr="0096210C">
        <w:rPr>
          <w:rFonts w:asciiTheme="minorHAnsi" w:hAnsiTheme="minorHAnsi" w:cstheme="minorHAnsi"/>
          <w:sz w:val="20"/>
          <w:szCs w:val="20"/>
        </w:rPr>
        <w:t xml:space="preserve"> in Management 2018 ranking (FT) and the top 50 school in the Corporate Knights Green MBA ranking (CK). 51 business schools participated in the rating. </w:t>
      </w:r>
    </w:p>
    <w:p w14:paraId="2FE84213" w14:textId="23B1D76F" w:rsidR="00410634" w:rsidRPr="0096210C" w:rsidRDefault="006624F7" w:rsidP="00763137">
      <w:pPr>
        <w:spacing w:after="120"/>
        <w:rPr>
          <w:rFonts w:asciiTheme="minorHAnsi" w:hAnsiTheme="minorHAnsi" w:cstheme="minorHAnsi"/>
          <w:sz w:val="20"/>
          <w:szCs w:val="20"/>
        </w:rPr>
      </w:pPr>
      <w:r w:rsidRPr="0096210C">
        <w:rPr>
          <w:rFonts w:asciiTheme="minorHAnsi" w:hAnsiTheme="minorHAnsi" w:cstheme="minorHAnsi"/>
          <w:sz w:val="20"/>
          <w:szCs w:val="20"/>
        </w:rPr>
        <w:t>The Positive Impact Rating</w:t>
      </w:r>
      <w:r w:rsidR="00410634" w:rsidRPr="0096210C">
        <w:rPr>
          <w:rFonts w:asciiTheme="minorHAnsi" w:hAnsiTheme="minorHAnsi" w:cstheme="minorHAnsi"/>
          <w:sz w:val="20"/>
          <w:szCs w:val="20"/>
        </w:rPr>
        <w:t xml:space="preserve"> feature</w:t>
      </w:r>
      <w:r w:rsidRPr="0096210C">
        <w:rPr>
          <w:rFonts w:asciiTheme="minorHAnsi" w:hAnsiTheme="minorHAnsi" w:cstheme="minorHAnsi"/>
          <w:sz w:val="20"/>
          <w:szCs w:val="20"/>
        </w:rPr>
        <w:t>s</w:t>
      </w:r>
      <w:r w:rsidR="00410634" w:rsidRPr="0096210C">
        <w:rPr>
          <w:rFonts w:asciiTheme="minorHAnsi" w:hAnsiTheme="minorHAnsi" w:cstheme="minorHAnsi"/>
          <w:sz w:val="20"/>
          <w:szCs w:val="20"/>
        </w:rPr>
        <w:t xml:space="preserve"> 30 leading schools that have performed well in this </w:t>
      </w:r>
      <w:r w:rsidRPr="0096210C">
        <w:rPr>
          <w:rFonts w:asciiTheme="minorHAnsi" w:hAnsiTheme="minorHAnsi" w:cstheme="minorHAnsi"/>
          <w:sz w:val="20"/>
          <w:szCs w:val="20"/>
        </w:rPr>
        <w:t xml:space="preserve">student </w:t>
      </w:r>
      <w:r w:rsidR="00410634" w:rsidRPr="0096210C">
        <w:rPr>
          <w:rFonts w:asciiTheme="minorHAnsi" w:hAnsiTheme="minorHAnsi" w:cstheme="minorHAnsi"/>
          <w:sz w:val="20"/>
          <w:szCs w:val="20"/>
        </w:rPr>
        <w:t>rating. While no school made the top level 5, nine schools</w:t>
      </w:r>
      <w:r w:rsidRPr="0096210C">
        <w:rPr>
          <w:rFonts w:asciiTheme="minorHAnsi" w:hAnsiTheme="minorHAnsi" w:cstheme="minorHAnsi"/>
          <w:sz w:val="20"/>
          <w:szCs w:val="20"/>
        </w:rPr>
        <w:t xml:space="preserve"> are</w:t>
      </w:r>
      <w:r w:rsidR="00410634" w:rsidRPr="0096210C">
        <w:rPr>
          <w:rFonts w:asciiTheme="minorHAnsi" w:hAnsiTheme="minorHAnsi" w:cstheme="minorHAnsi"/>
          <w:sz w:val="20"/>
          <w:szCs w:val="20"/>
        </w:rPr>
        <w:t xml:space="preserve"> featur</w:t>
      </w:r>
      <w:r w:rsidRPr="0096210C">
        <w:rPr>
          <w:rFonts w:asciiTheme="minorHAnsi" w:hAnsiTheme="minorHAnsi" w:cstheme="minorHAnsi"/>
          <w:sz w:val="20"/>
          <w:szCs w:val="20"/>
        </w:rPr>
        <w:t>ed</w:t>
      </w:r>
      <w:r w:rsidR="00410634" w:rsidRPr="0096210C">
        <w:rPr>
          <w:rFonts w:asciiTheme="minorHAnsi" w:hAnsiTheme="minorHAnsi" w:cstheme="minorHAnsi"/>
          <w:sz w:val="20"/>
          <w:szCs w:val="20"/>
        </w:rPr>
        <w:t xml:space="preserve"> in level 4. These “</w:t>
      </w:r>
      <w:r w:rsidR="00410634" w:rsidRPr="0096210C">
        <w:rPr>
          <w:rFonts w:asciiTheme="minorHAnsi" w:hAnsiTheme="minorHAnsi" w:cstheme="minorHAnsi"/>
          <w:b/>
          <w:bCs/>
          <w:sz w:val="20"/>
          <w:szCs w:val="20"/>
        </w:rPr>
        <w:t>transforming schools</w:t>
      </w:r>
      <w:r w:rsidR="00410634" w:rsidRPr="0096210C">
        <w:rPr>
          <w:rFonts w:asciiTheme="minorHAnsi" w:hAnsiTheme="minorHAnsi" w:cstheme="minorHAnsi"/>
          <w:sz w:val="20"/>
          <w:szCs w:val="20"/>
        </w:rPr>
        <w:t xml:space="preserve">” show a positive impact culture, embedded in governance and systems, with visible results in </w:t>
      </w:r>
      <w:r w:rsidRPr="0096210C">
        <w:rPr>
          <w:rFonts w:asciiTheme="minorHAnsi" w:hAnsiTheme="minorHAnsi" w:cstheme="minorHAnsi"/>
          <w:sz w:val="20"/>
          <w:szCs w:val="20"/>
        </w:rPr>
        <w:t>a number of</w:t>
      </w:r>
      <w:r w:rsidR="00410634" w:rsidRPr="0096210C">
        <w:rPr>
          <w:rFonts w:asciiTheme="minorHAnsi" w:hAnsiTheme="minorHAnsi" w:cstheme="minorHAnsi"/>
          <w:sz w:val="20"/>
          <w:szCs w:val="20"/>
        </w:rPr>
        <w:t xml:space="preserve"> impact dimensions. A further 21 schools feature in level 3. These “</w:t>
      </w:r>
      <w:r w:rsidR="00410634" w:rsidRPr="0096210C">
        <w:rPr>
          <w:rFonts w:asciiTheme="minorHAnsi" w:hAnsiTheme="minorHAnsi" w:cstheme="minorHAnsi"/>
          <w:b/>
          <w:bCs/>
          <w:sz w:val="20"/>
          <w:szCs w:val="20"/>
        </w:rPr>
        <w:t>progressing schools</w:t>
      </w:r>
      <w:r w:rsidR="00410634" w:rsidRPr="0096210C">
        <w:rPr>
          <w:rFonts w:asciiTheme="minorHAnsi" w:hAnsiTheme="minorHAnsi" w:cstheme="minorHAnsi"/>
          <w:sz w:val="20"/>
          <w:szCs w:val="20"/>
        </w:rPr>
        <w:t xml:space="preserve">” show </w:t>
      </w:r>
      <w:r w:rsidRPr="0096210C">
        <w:rPr>
          <w:rFonts w:asciiTheme="minorHAnsi" w:hAnsiTheme="minorHAnsi" w:cstheme="minorHAnsi"/>
          <w:sz w:val="20"/>
          <w:szCs w:val="20"/>
        </w:rPr>
        <w:t>results</w:t>
      </w:r>
      <w:r w:rsidR="00410634" w:rsidRPr="0096210C">
        <w:rPr>
          <w:rFonts w:asciiTheme="minorHAnsi" w:hAnsiTheme="minorHAnsi" w:cstheme="minorHAnsi"/>
          <w:sz w:val="20"/>
          <w:szCs w:val="20"/>
        </w:rPr>
        <w:t xml:space="preserve"> across some impact dimensions. In the spirit of reinforcing good practice, </w:t>
      </w:r>
      <w:r w:rsidRPr="0096210C">
        <w:rPr>
          <w:rFonts w:asciiTheme="minorHAnsi" w:hAnsiTheme="minorHAnsi" w:cstheme="minorHAnsi"/>
          <w:sz w:val="20"/>
          <w:szCs w:val="20"/>
        </w:rPr>
        <w:t>the</w:t>
      </w:r>
      <w:r w:rsidR="00410634" w:rsidRPr="0096210C">
        <w:rPr>
          <w:rFonts w:asciiTheme="minorHAnsi" w:hAnsiTheme="minorHAnsi" w:cstheme="minorHAnsi"/>
          <w:sz w:val="20"/>
          <w:szCs w:val="20"/>
        </w:rPr>
        <w:t xml:space="preserve"> rating does not feature schools that were rated below level 3. </w:t>
      </w:r>
    </w:p>
    <w:p w14:paraId="2F04C485" w14:textId="64F3FC27" w:rsidR="006624F7" w:rsidRPr="0096210C" w:rsidRDefault="006624F7" w:rsidP="00763137">
      <w:pPr>
        <w:spacing w:after="120"/>
        <w:rPr>
          <w:rFonts w:asciiTheme="minorHAnsi" w:hAnsiTheme="minorHAnsi" w:cstheme="minorHAnsi"/>
          <w:sz w:val="20"/>
          <w:szCs w:val="20"/>
        </w:rPr>
      </w:pPr>
      <w:r w:rsidRPr="0096210C">
        <w:rPr>
          <w:rFonts w:asciiTheme="minorHAnsi" w:hAnsiTheme="minorHAnsi" w:cstheme="minorHAnsi"/>
          <w:sz w:val="20"/>
          <w:szCs w:val="20"/>
        </w:rPr>
        <w:t>The nine transforming schools at level 4 are rated significantly better in the impact dimensions governance (23% higher) and culture (18% higher) than the rest of the schools, showing the importance of these dimensions in the change process.</w:t>
      </w:r>
    </w:p>
    <w:p w14:paraId="5CE976B2" w14:textId="449FAD65" w:rsidR="00D075BF" w:rsidRPr="0096210C" w:rsidRDefault="00410634" w:rsidP="00763137">
      <w:pPr>
        <w:rPr>
          <w:rFonts w:asciiTheme="minorHAnsi" w:hAnsiTheme="minorHAnsi" w:cstheme="minorHAnsi"/>
          <w:sz w:val="20"/>
          <w:szCs w:val="20"/>
        </w:rPr>
      </w:pPr>
      <w:r w:rsidRPr="0096210C">
        <w:rPr>
          <w:rFonts w:asciiTheme="minorHAnsi" w:hAnsiTheme="minorHAnsi" w:cstheme="minorHAnsi"/>
          <w:sz w:val="20"/>
          <w:szCs w:val="20"/>
        </w:rPr>
        <w:t>Among the 51 participating schools, 2</w:t>
      </w:r>
      <w:r w:rsidR="002D3D7A" w:rsidRPr="0096210C">
        <w:rPr>
          <w:rFonts w:asciiTheme="minorHAnsi" w:hAnsiTheme="minorHAnsi" w:cstheme="minorHAnsi"/>
          <w:sz w:val="20"/>
          <w:szCs w:val="20"/>
        </w:rPr>
        <w:t>6</w:t>
      </w:r>
      <w:r w:rsidRPr="0096210C">
        <w:rPr>
          <w:rFonts w:asciiTheme="minorHAnsi" w:hAnsiTheme="minorHAnsi" w:cstheme="minorHAnsi"/>
          <w:sz w:val="20"/>
          <w:szCs w:val="20"/>
        </w:rPr>
        <w:t xml:space="preserve"> appear in the FT and 1</w:t>
      </w:r>
      <w:r w:rsidR="002D3D7A" w:rsidRPr="0096210C">
        <w:rPr>
          <w:rFonts w:asciiTheme="minorHAnsi" w:hAnsiTheme="minorHAnsi" w:cstheme="minorHAnsi"/>
          <w:sz w:val="20"/>
          <w:szCs w:val="20"/>
        </w:rPr>
        <w:t>9</w:t>
      </w:r>
      <w:r w:rsidRPr="0096210C">
        <w:rPr>
          <w:rFonts w:asciiTheme="minorHAnsi" w:hAnsiTheme="minorHAnsi" w:cstheme="minorHAnsi"/>
          <w:sz w:val="20"/>
          <w:szCs w:val="20"/>
        </w:rPr>
        <w:t xml:space="preserve"> in the CK rankings. Among the leading 30 schools, there are 1</w:t>
      </w:r>
      <w:r w:rsidR="002D3D7A" w:rsidRPr="0096210C">
        <w:rPr>
          <w:rFonts w:asciiTheme="minorHAnsi" w:hAnsiTheme="minorHAnsi" w:cstheme="minorHAnsi"/>
          <w:sz w:val="20"/>
          <w:szCs w:val="20"/>
        </w:rPr>
        <w:t>3</w:t>
      </w:r>
      <w:r w:rsidRPr="0096210C">
        <w:rPr>
          <w:rFonts w:asciiTheme="minorHAnsi" w:hAnsiTheme="minorHAnsi" w:cstheme="minorHAnsi"/>
          <w:sz w:val="20"/>
          <w:szCs w:val="20"/>
        </w:rPr>
        <w:t xml:space="preserve"> FT and 11 CK schools. It is interesting to note that there are no top 25 FT schools among </w:t>
      </w:r>
      <w:r w:rsidR="00977569" w:rsidRPr="0096210C">
        <w:rPr>
          <w:rFonts w:asciiTheme="minorHAnsi" w:hAnsiTheme="minorHAnsi" w:cstheme="minorHAnsi"/>
          <w:sz w:val="20"/>
          <w:szCs w:val="20"/>
        </w:rPr>
        <w:t>the</w:t>
      </w:r>
      <w:r w:rsidRPr="0096210C">
        <w:rPr>
          <w:rFonts w:asciiTheme="minorHAnsi" w:hAnsiTheme="minorHAnsi" w:cstheme="minorHAnsi"/>
          <w:sz w:val="20"/>
          <w:szCs w:val="20"/>
        </w:rPr>
        <w:t xml:space="preserve"> level 4 schools, while </w:t>
      </w:r>
      <w:r w:rsidR="006624F7" w:rsidRPr="0096210C">
        <w:rPr>
          <w:rFonts w:asciiTheme="minorHAnsi" w:hAnsiTheme="minorHAnsi" w:cstheme="minorHAnsi"/>
          <w:sz w:val="20"/>
          <w:szCs w:val="20"/>
        </w:rPr>
        <w:t>level 4 includes</w:t>
      </w:r>
      <w:r w:rsidRPr="0096210C">
        <w:rPr>
          <w:rFonts w:asciiTheme="minorHAnsi" w:hAnsiTheme="minorHAnsi" w:cstheme="minorHAnsi"/>
          <w:sz w:val="20"/>
          <w:szCs w:val="20"/>
        </w:rPr>
        <w:t xml:space="preserve"> three top 10 CK schools. </w:t>
      </w:r>
      <w:r w:rsidR="006624F7" w:rsidRPr="0096210C">
        <w:rPr>
          <w:rFonts w:asciiTheme="minorHAnsi" w:hAnsiTheme="minorHAnsi" w:cstheme="minorHAnsi"/>
          <w:sz w:val="20"/>
          <w:szCs w:val="20"/>
        </w:rPr>
        <w:t xml:space="preserve">The </w:t>
      </w:r>
      <w:r w:rsidRPr="0096210C">
        <w:rPr>
          <w:rFonts w:asciiTheme="minorHAnsi" w:hAnsiTheme="minorHAnsi" w:cstheme="minorHAnsi"/>
          <w:sz w:val="20"/>
          <w:szCs w:val="20"/>
        </w:rPr>
        <w:t>FT and CK rankings measure quality differently</w:t>
      </w:r>
      <w:r w:rsidR="006624F7" w:rsidRPr="0096210C">
        <w:rPr>
          <w:rFonts w:asciiTheme="minorHAnsi" w:hAnsiTheme="minorHAnsi" w:cstheme="minorHAnsi"/>
          <w:sz w:val="20"/>
          <w:szCs w:val="20"/>
        </w:rPr>
        <w:t>, with the “green” CK ranking a notch closer to measuring impact</w:t>
      </w:r>
      <w:r w:rsidRPr="0096210C">
        <w:rPr>
          <w:rFonts w:asciiTheme="minorHAnsi" w:hAnsiTheme="minorHAnsi" w:cstheme="minorHAnsi"/>
          <w:sz w:val="20"/>
          <w:szCs w:val="20"/>
        </w:rPr>
        <w:t>.</w:t>
      </w:r>
    </w:p>
    <w:p w14:paraId="661217DD" w14:textId="77777777" w:rsidR="00D075BF" w:rsidRPr="0096210C" w:rsidRDefault="00D075BF" w:rsidP="00763137">
      <w:pPr>
        <w:rPr>
          <w:rFonts w:asciiTheme="minorHAnsi" w:hAnsiTheme="minorHAnsi" w:cstheme="minorHAnsi"/>
          <w:sz w:val="20"/>
          <w:szCs w:val="20"/>
        </w:rPr>
      </w:pPr>
    </w:p>
    <w:p w14:paraId="43AE2515" w14:textId="133FFF2A" w:rsidR="0004556D" w:rsidRPr="0096210C" w:rsidRDefault="00D23129" w:rsidP="00763137">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t>PIR learning = Peer learning</w:t>
      </w:r>
    </w:p>
    <w:p w14:paraId="1DC954CE" w14:textId="2055CF9F" w:rsidR="0004556D" w:rsidRPr="0096210C" w:rsidRDefault="0004556D" w:rsidP="00763137">
      <w:pPr>
        <w:spacing w:after="120"/>
        <w:rPr>
          <w:rFonts w:asciiTheme="minorHAnsi" w:hAnsiTheme="minorHAnsi" w:cstheme="minorHAnsi"/>
          <w:sz w:val="20"/>
          <w:szCs w:val="20"/>
        </w:rPr>
      </w:pPr>
      <w:r w:rsidRPr="0096210C">
        <w:rPr>
          <w:rFonts w:asciiTheme="minorHAnsi" w:hAnsiTheme="minorHAnsi" w:cstheme="minorHAnsi"/>
          <w:sz w:val="20"/>
          <w:szCs w:val="20"/>
        </w:rPr>
        <w:t xml:space="preserve">Students </w:t>
      </w:r>
      <w:r w:rsidR="00D23129" w:rsidRPr="0096210C">
        <w:rPr>
          <w:rFonts w:asciiTheme="minorHAnsi" w:hAnsiTheme="minorHAnsi" w:cstheme="minorHAnsi"/>
          <w:sz w:val="20"/>
          <w:szCs w:val="20"/>
        </w:rPr>
        <w:t>around the world</w:t>
      </w:r>
      <w:r w:rsidRPr="0096210C">
        <w:rPr>
          <w:rFonts w:asciiTheme="minorHAnsi" w:hAnsiTheme="minorHAnsi" w:cstheme="minorHAnsi"/>
          <w:sz w:val="20"/>
          <w:szCs w:val="20"/>
        </w:rPr>
        <w:t xml:space="preserve"> are clear in their assessment that schools have much room for improvement when it comes to preparing them for dealing with sustainability challenges in their jobs and for </w:t>
      </w:r>
      <w:r w:rsidR="00B82474" w:rsidRPr="0096210C">
        <w:rPr>
          <w:rFonts w:asciiTheme="minorHAnsi" w:hAnsiTheme="minorHAnsi" w:cstheme="minorHAnsi"/>
          <w:sz w:val="20"/>
          <w:szCs w:val="20"/>
        </w:rPr>
        <w:t xml:space="preserve">a </w:t>
      </w:r>
      <w:r w:rsidRPr="0096210C">
        <w:rPr>
          <w:rFonts w:asciiTheme="minorHAnsi" w:hAnsiTheme="minorHAnsi" w:cstheme="minorHAnsi"/>
          <w:sz w:val="20"/>
          <w:szCs w:val="20"/>
        </w:rPr>
        <w:t>school reporting on its responsibility and sustainability performance (</w:t>
      </w:r>
      <w:r w:rsidR="00B82474" w:rsidRPr="0096210C">
        <w:rPr>
          <w:rFonts w:asciiTheme="minorHAnsi" w:hAnsiTheme="minorHAnsi" w:cstheme="minorHAnsi"/>
          <w:sz w:val="20"/>
          <w:szCs w:val="20"/>
        </w:rPr>
        <w:t xml:space="preserve">the </w:t>
      </w:r>
      <w:r w:rsidR="00B82474" w:rsidRPr="0096210C">
        <w:rPr>
          <w:rFonts w:asciiTheme="minorHAnsi" w:hAnsiTheme="minorHAnsi" w:cstheme="minorHAnsi"/>
          <w:b/>
          <w:bCs/>
          <w:sz w:val="20"/>
          <w:szCs w:val="20"/>
        </w:rPr>
        <w:t>r</w:t>
      </w:r>
      <w:r w:rsidR="002D3D7A" w:rsidRPr="0096210C">
        <w:rPr>
          <w:rFonts w:asciiTheme="minorHAnsi" w:hAnsiTheme="minorHAnsi" w:cstheme="minorHAnsi"/>
          <w:b/>
          <w:bCs/>
          <w:sz w:val="20"/>
          <w:szCs w:val="20"/>
        </w:rPr>
        <w:t xml:space="preserve">ole </w:t>
      </w:r>
      <w:r w:rsidR="00B82474" w:rsidRPr="0096210C">
        <w:rPr>
          <w:rFonts w:asciiTheme="minorHAnsi" w:hAnsiTheme="minorHAnsi" w:cstheme="minorHAnsi"/>
          <w:b/>
          <w:bCs/>
          <w:sz w:val="20"/>
          <w:szCs w:val="20"/>
        </w:rPr>
        <w:t>m</w:t>
      </w:r>
      <w:r w:rsidR="002D3D7A" w:rsidRPr="0096210C">
        <w:rPr>
          <w:rFonts w:asciiTheme="minorHAnsi" w:hAnsiTheme="minorHAnsi" w:cstheme="minorHAnsi"/>
          <w:b/>
          <w:bCs/>
          <w:sz w:val="20"/>
          <w:szCs w:val="20"/>
        </w:rPr>
        <w:t>odel</w:t>
      </w:r>
      <w:r w:rsidR="00B82474" w:rsidRPr="0096210C">
        <w:rPr>
          <w:rFonts w:asciiTheme="minorHAnsi" w:hAnsiTheme="minorHAnsi" w:cstheme="minorHAnsi"/>
          <w:sz w:val="20"/>
          <w:szCs w:val="20"/>
        </w:rPr>
        <w:t xml:space="preserve"> dimension shows the</w:t>
      </w:r>
      <w:r w:rsidR="002D3D7A" w:rsidRPr="0096210C">
        <w:rPr>
          <w:rFonts w:asciiTheme="minorHAnsi" w:hAnsiTheme="minorHAnsi" w:cstheme="minorHAnsi"/>
          <w:sz w:val="20"/>
          <w:szCs w:val="20"/>
        </w:rPr>
        <w:t xml:space="preserve"> </w:t>
      </w:r>
      <w:r w:rsidRPr="0096210C">
        <w:rPr>
          <w:rFonts w:asciiTheme="minorHAnsi" w:hAnsiTheme="minorHAnsi" w:cstheme="minorHAnsi"/>
          <w:sz w:val="20"/>
          <w:szCs w:val="20"/>
        </w:rPr>
        <w:t xml:space="preserve">lowest score). Students also critique their schools regarding their </w:t>
      </w:r>
      <w:r w:rsidRPr="0096210C">
        <w:rPr>
          <w:rFonts w:asciiTheme="minorHAnsi" w:hAnsiTheme="minorHAnsi" w:cstheme="minorHAnsi"/>
          <w:b/>
          <w:bCs/>
          <w:sz w:val="20"/>
          <w:szCs w:val="20"/>
        </w:rPr>
        <w:t>public engagement</w:t>
      </w:r>
      <w:r w:rsidRPr="0096210C">
        <w:rPr>
          <w:rFonts w:asciiTheme="minorHAnsi" w:hAnsiTheme="minorHAnsi" w:cstheme="minorHAnsi"/>
          <w:sz w:val="20"/>
          <w:szCs w:val="20"/>
        </w:rPr>
        <w:t xml:space="preserve"> as well as the low level of </w:t>
      </w:r>
      <w:r w:rsidRPr="0096210C">
        <w:rPr>
          <w:rFonts w:asciiTheme="minorHAnsi" w:hAnsiTheme="minorHAnsi" w:cstheme="minorHAnsi"/>
          <w:b/>
          <w:bCs/>
          <w:sz w:val="20"/>
          <w:szCs w:val="20"/>
        </w:rPr>
        <w:t>student engagement</w:t>
      </w:r>
      <w:r w:rsidRPr="0096210C">
        <w:rPr>
          <w:rFonts w:asciiTheme="minorHAnsi" w:hAnsiTheme="minorHAnsi" w:cstheme="minorHAnsi"/>
          <w:sz w:val="20"/>
          <w:szCs w:val="20"/>
        </w:rPr>
        <w:t xml:space="preserve"> (second and third lowest scores). </w:t>
      </w:r>
    </w:p>
    <w:p w14:paraId="26C9290B" w14:textId="7BE3613C" w:rsidR="0004556D" w:rsidRPr="0096210C" w:rsidRDefault="0004556D" w:rsidP="00763137">
      <w:pPr>
        <w:spacing w:after="120"/>
        <w:rPr>
          <w:rFonts w:asciiTheme="minorHAnsi" w:hAnsiTheme="minorHAnsi" w:cstheme="minorHAnsi"/>
          <w:sz w:val="20"/>
          <w:szCs w:val="20"/>
        </w:rPr>
      </w:pPr>
      <w:r w:rsidRPr="0096210C">
        <w:rPr>
          <w:rFonts w:asciiTheme="minorHAnsi" w:hAnsiTheme="minorHAnsi" w:cstheme="minorHAnsi"/>
          <w:sz w:val="20"/>
          <w:szCs w:val="20"/>
        </w:rPr>
        <w:t xml:space="preserve">The nine top rated schools on level 4 are recognized by their students for including sustainability and societal engagement in their mission and for the degree to which these are seen as a driving force for the school (23% higher than average). These schools are also recognized by their students for having a culture that is aligned with their school’s purpose, for most of their people being highly motivated beyond self-interest and for strongly supporting personal development (18% higher than average). </w:t>
      </w:r>
    </w:p>
    <w:p w14:paraId="0C7C18D0" w14:textId="6A5B91C7" w:rsidR="003F0CD0" w:rsidRPr="0096210C" w:rsidRDefault="0004556D" w:rsidP="00763137">
      <w:pPr>
        <w:rPr>
          <w:rFonts w:asciiTheme="minorHAnsi" w:hAnsiTheme="minorHAnsi" w:cstheme="minorHAnsi"/>
          <w:sz w:val="20"/>
          <w:szCs w:val="20"/>
        </w:rPr>
      </w:pPr>
      <w:r w:rsidRPr="0096210C">
        <w:rPr>
          <w:rFonts w:asciiTheme="minorHAnsi" w:hAnsiTheme="minorHAnsi" w:cstheme="minorHAnsi"/>
          <w:sz w:val="20"/>
          <w:szCs w:val="20"/>
        </w:rPr>
        <w:t>The full PIR rating report includes best practice examples of those schools that have rated exceptionally well in one or the other of the seven dimensions. These examples are meant to inspire exchange and learning within and between schools, regionally or according to the change priorities.</w:t>
      </w:r>
    </w:p>
    <w:p w14:paraId="6449240E" w14:textId="77777777" w:rsidR="00410634" w:rsidRPr="0096210C" w:rsidRDefault="00410634" w:rsidP="00763137">
      <w:pPr>
        <w:rPr>
          <w:rFonts w:asciiTheme="minorHAnsi" w:hAnsiTheme="minorHAnsi" w:cstheme="minorHAnsi"/>
          <w:sz w:val="20"/>
          <w:szCs w:val="20"/>
        </w:rPr>
      </w:pPr>
    </w:p>
    <w:p w14:paraId="71AF2C87" w14:textId="7F67DD9F" w:rsidR="0004087F" w:rsidRPr="0096210C" w:rsidRDefault="00EA0692" w:rsidP="00763137">
      <w:pPr>
        <w:spacing w:after="120"/>
        <w:rPr>
          <w:rFonts w:asciiTheme="minorHAnsi" w:hAnsiTheme="minorHAnsi" w:cstheme="minorHAnsi"/>
          <w:b/>
          <w:bCs/>
          <w:color w:val="0084A8"/>
          <w:sz w:val="22"/>
        </w:rPr>
      </w:pPr>
      <w:r w:rsidRPr="0096210C">
        <w:rPr>
          <w:rFonts w:asciiTheme="minorHAnsi" w:hAnsiTheme="minorHAnsi" w:cstheme="minorHAnsi"/>
          <w:b/>
          <w:bCs/>
          <w:color w:val="0084A8"/>
          <w:sz w:val="22"/>
        </w:rPr>
        <w:lastRenderedPageBreak/>
        <w:t>By</w:t>
      </w:r>
      <w:r w:rsidR="0096593F" w:rsidRPr="0096210C">
        <w:rPr>
          <w:rFonts w:asciiTheme="minorHAnsi" w:hAnsiTheme="minorHAnsi" w:cstheme="minorHAnsi"/>
          <w:b/>
          <w:bCs/>
          <w:color w:val="0084A8"/>
          <w:sz w:val="22"/>
        </w:rPr>
        <w:t xml:space="preserve"> students for students</w:t>
      </w:r>
    </w:p>
    <w:p w14:paraId="762601AF" w14:textId="1DF54C2D" w:rsidR="0005655F" w:rsidRPr="0096210C" w:rsidRDefault="004C5DA4" w:rsidP="00763137">
      <w:pPr>
        <w:rPr>
          <w:rFonts w:asciiTheme="minorHAnsi" w:hAnsiTheme="minorHAnsi" w:cstheme="minorHAnsi"/>
          <w:sz w:val="20"/>
          <w:szCs w:val="20"/>
        </w:rPr>
      </w:pPr>
      <w:r w:rsidRPr="0096210C">
        <w:rPr>
          <w:rFonts w:asciiTheme="minorHAnsi" w:hAnsiTheme="minorHAnsi" w:cstheme="minorHAnsi"/>
          <w:sz w:val="20"/>
          <w:szCs w:val="20"/>
        </w:rPr>
        <w:t xml:space="preserve">The international student organizations oikos, AIESEC, and Net Impact have joined forces with </w:t>
      </w:r>
      <w:r w:rsidR="0088465E" w:rsidRPr="0096210C">
        <w:rPr>
          <w:rFonts w:asciiTheme="minorHAnsi" w:hAnsiTheme="minorHAnsi" w:cstheme="minorHAnsi"/>
          <w:sz w:val="20"/>
          <w:szCs w:val="20"/>
        </w:rPr>
        <w:t>WWF Switzerland</w:t>
      </w:r>
      <w:r w:rsidR="0005655F" w:rsidRPr="0096210C">
        <w:rPr>
          <w:rFonts w:asciiTheme="minorHAnsi" w:hAnsiTheme="minorHAnsi" w:cstheme="minorHAnsi"/>
          <w:sz w:val="20"/>
          <w:szCs w:val="20"/>
        </w:rPr>
        <w:t xml:space="preserve">, OXFAM </w:t>
      </w:r>
      <w:r w:rsidR="0088465E" w:rsidRPr="0096210C">
        <w:rPr>
          <w:rFonts w:asciiTheme="minorHAnsi" w:hAnsiTheme="minorHAnsi" w:cstheme="minorHAnsi"/>
          <w:sz w:val="20"/>
          <w:szCs w:val="20"/>
        </w:rPr>
        <w:t>International</w:t>
      </w:r>
      <w:r w:rsidRPr="0096210C">
        <w:rPr>
          <w:rFonts w:asciiTheme="minorHAnsi" w:hAnsiTheme="minorHAnsi" w:cstheme="minorHAnsi"/>
          <w:sz w:val="20"/>
          <w:szCs w:val="20"/>
        </w:rPr>
        <w:t xml:space="preserve"> and </w:t>
      </w:r>
      <w:r w:rsidR="0088465E" w:rsidRPr="0096210C">
        <w:rPr>
          <w:rFonts w:asciiTheme="minorHAnsi" w:hAnsiTheme="minorHAnsi" w:cstheme="minorHAnsi"/>
          <w:sz w:val="20"/>
          <w:szCs w:val="20"/>
        </w:rPr>
        <w:t xml:space="preserve">UN Global Compact Switzerland </w:t>
      </w:r>
      <w:r w:rsidR="0005655F" w:rsidRPr="0096210C">
        <w:rPr>
          <w:rFonts w:asciiTheme="minorHAnsi" w:hAnsiTheme="minorHAnsi" w:cstheme="minorHAnsi"/>
          <w:sz w:val="20"/>
          <w:szCs w:val="20"/>
        </w:rPr>
        <w:t xml:space="preserve">to launch </w:t>
      </w:r>
      <w:r w:rsidR="00410634" w:rsidRPr="0096210C">
        <w:rPr>
          <w:rFonts w:asciiTheme="minorHAnsi" w:hAnsiTheme="minorHAnsi" w:cstheme="minorHAnsi"/>
          <w:sz w:val="20"/>
          <w:szCs w:val="20"/>
        </w:rPr>
        <w:t xml:space="preserve">this </w:t>
      </w:r>
      <w:r w:rsidR="0005655F" w:rsidRPr="0096210C">
        <w:rPr>
          <w:rFonts w:asciiTheme="minorHAnsi" w:hAnsiTheme="minorHAnsi" w:cstheme="minorHAnsi"/>
          <w:sz w:val="20"/>
          <w:szCs w:val="20"/>
        </w:rPr>
        <w:t xml:space="preserve">radically new </w:t>
      </w:r>
      <w:r w:rsidR="0088465E" w:rsidRPr="0096210C">
        <w:rPr>
          <w:rFonts w:asciiTheme="minorHAnsi" w:hAnsiTheme="minorHAnsi" w:cstheme="minorHAnsi"/>
          <w:sz w:val="20"/>
          <w:szCs w:val="20"/>
        </w:rPr>
        <w:t xml:space="preserve">business school </w:t>
      </w:r>
      <w:r w:rsidR="0005655F" w:rsidRPr="0096210C">
        <w:rPr>
          <w:rFonts w:asciiTheme="minorHAnsi" w:hAnsiTheme="minorHAnsi" w:cstheme="minorHAnsi"/>
          <w:sz w:val="20"/>
          <w:szCs w:val="20"/>
        </w:rPr>
        <w:t>rating</w:t>
      </w:r>
      <w:r w:rsidRPr="0096210C">
        <w:rPr>
          <w:rFonts w:asciiTheme="minorHAnsi" w:hAnsiTheme="minorHAnsi" w:cstheme="minorHAnsi"/>
          <w:sz w:val="20"/>
          <w:szCs w:val="20"/>
        </w:rPr>
        <w:t>.</w:t>
      </w:r>
      <w:r w:rsidR="0088465E" w:rsidRPr="0096210C">
        <w:rPr>
          <w:rFonts w:asciiTheme="minorHAnsi" w:hAnsiTheme="minorHAnsi" w:cstheme="minorHAnsi"/>
          <w:sz w:val="20"/>
          <w:szCs w:val="20"/>
        </w:rPr>
        <w:t xml:space="preserve"> </w:t>
      </w:r>
      <w:r w:rsidR="0005655F" w:rsidRPr="0096210C">
        <w:rPr>
          <w:rFonts w:asciiTheme="minorHAnsi" w:hAnsiTheme="minorHAnsi" w:cstheme="minorHAnsi"/>
          <w:sz w:val="20"/>
          <w:szCs w:val="20"/>
        </w:rPr>
        <w:t>Together</w:t>
      </w:r>
      <w:r w:rsidRPr="0096210C">
        <w:rPr>
          <w:rFonts w:asciiTheme="minorHAnsi" w:hAnsiTheme="minorHAnsi" w:cstheme="minorHAnsi"/>
          <w:sz w:val="20"/>
          <w:szCs w:val="20"/>
        </w:rPr>
        <w:t>, these stakeholders</w:t>
      </w:r>
      <w:r w:rsidR="0005655F" w:rsidRPr="0096210C">
        <w:rPr>
          <w:rFonts w:asciiTheme="minorHAnsi" w:hAnsiTheme="minorHAnsi" w:cstheme="minorHAnsi"/>
          <w:sz w:val="20"/>
          <w:szCs w:val="20"/>
        </w:rPr>
        <w:t xml:space="preserve"> represent </w:t>
      </w:r>
      <w:r w:rsidR="0088465E" w:rsidRPr="0096210C">
        <w:rPr>
          <w:rFonts w:asciiTheme="minorHAnsi" w:hAnsiTheme="minorHAnsi" w:cstheme="minorHAnsi"/>
          <w:sz w:val="20"/>
          <w:szCs w:val="20"/>
        </w:rPr>
        <w:t xml:space="preserve">the environment, </w:t>
      </w:r>
      <w:r w:rsidR="0005655F" w:rsidRPr="0096210C">
        <w:rPr>
          <w:rFonts w:asciiTheme="minorHAnsi" w:hAnsiTheme="minorHAnsi" w:cstheme="minorHAnsi"/>
          <w:sz w:val="20"/>
          <w:szCs w:val="20"/>
        </w:rPr>
        <w:t>society, business</w:t>
      </w:r>
      <w:r w:rsidR="0088465E" w:rsidRPr="0096210C">
        <w:rPr>
          <w:rFonts w:asciiTheme="minorHAnsi" w:hAnsiTheme="minorHAnsi" w:cstheme="minorHAnsi"/>
          <w:sz w:val="20"/>
          <w:szCs w:val="20"/>
        </w:rPr>
        <w:t>,</w:t>
      </w:r>
      <w:r w:rsidR="0005655F" w:rsidRPr="0096210C">
        <w:rPr>
          <w:rFonts w:asciiTheme="minorHAnsi" w:hAnsiTheme="minorHAnsi" w:cstheme="minorHAnsi"/>
          <w:sz w:val="20"/>
          <w:szCs w:val="20"/>
        </w:rPr>
        <w:t xml:space="preserve"> and the next generation. </w:t>
      </w:r>
      <w:r w:rsidR="0096593F" w:rsidRPr="0096210C">
        <w:rPr>
          <w:rFonts w:asciiTheme="minorHAnsi" w:hAnsiTheme="minorHAnsi" w:cstheme="minorHAnsi"/>
          <w:sz w:val="20"/>
          <w:szCs w:val="20"/>
        </w:rPr>
        <w:t xml:space="preserve">In addition to changing business schools, they want to provide a more relevant selection tool for </w:t>
      </w:r>
      <w:r w:rsidR="0005655F" w:rsidRPr="0096210C">
        <w:rPr>
          <w:rFonts w:asciiTheme="minorHAnsi" w:hAnsiTheme="minorHAnsi" w:cstheme="minorHAnsi"/>
          <w:sz w:val="20"/>
          <w:szCs w:val="20"/>
        </w:rPr>
        <w:t>future students</w:t>
      </w:r>
      <w:r w:rsidR="0096593F" w:rsidRPr="0096210C">
        <w:rPr>
          <w:rFonts w:asciiTheme="minorHAnsi" w:hAnsiTheme="minorHAnsi" w:cstheme="minorHAnsi"/>
          <w:sz w:val="20"/>
          <w:szCs w:val="20"/>
        </w:rPr>
        <w:t>. Many of these future students</w:t>
      </w:r>
      <w:r w:rsidR="0005655F" w:rsidRPr="0096210C">
        <w:rPr>
          <w:rFonts w:asciiTheme="minorHAnsi" w:hAnsiTheme="minorHAnsi" w:cstheme="minorHAnsi"/>
          <w:sz w:val="20"/>
          <w:szCs w:val="20"/>
        </w:rPr>
        <w:t xml:space="preserve"> car</w:t>
      </w:r>
      <w:r w:rsidR="0096593F" w:rsidRPr="0096210C">
        <w:rPr>
          <w:rFonts w:asciiTheme="minorHAnsi" w:hAnsiTheme="minorHAnsi" w:cstheme="minorHAnsi"/>
          <w:sz w:val="20"/>
          <w:szCs w:val="20"/>
        </w:rPr>
        <w:t>e deeply about making</w:t>
      </w:r>
      <w:r w:rsidR="0005655F" w:rsidRPr="0096210C">
        <w:rPr>
          <w:rFonts w:asciiTheme="minorHAnsi" w:hAnsiTheme="minorHAnsi" w:cstheme="minorHAnsi"/>
          <w:sz w:val="20"/>
          <w:szCs w:val="20"/>
        </w:rPr>
        <w:t xml:space="preserve"> a positive difference through their professional li</w:t>
      </w:r>
      <w:r w:rsidR="0088465E" w:rsidRPr="0096210C">
        <w:rPr>
          <w:rFonts w:asciiTheme="minorHAnsi" w:hAnsiTheme="minorHAnsi" w:cstheme="minorHAnsi"/>
          <w:sz w:val="20"/>
          <w:szCs w:val="20"/>
        </w:rPr>
        <w:t>ves</w:t>
      </w:r>
      <w:r w:rsidR="0005655F" w:rsidRPr="0096210C">
        <w:rPr>
          <w:rFonts w:asciiTheme="minorHAnsi" w:hAnsiTheme="minorHAnsi" w:cstheme="minorHAnsi"/>
          <w:sz w:val="20"/>
          <w:szCs w:val="20"/>
        </w:rPr>
        <w:t xml:space="preserve">, yet </w:t>
      </w:r>
      <w:r w:rsidR="0096593F" w:rsidRPr="0096210C">
        <w:rPr>
          <w:rFonts w:asciiTheme="minorHAnsi" w:hAnsiTheme="minorHAnsi" w:cstheme="minorHAnsi"/>
          <w:sz w:val="20"/>
          <w:szCs w:val="20"/>
        </w:rPr>
        <w:t>they don’t necessarily know</w:t>
      </w:r>
      <w:r w:rsidR="0005655F" w:rsidRPr="0096210C">
        <w:rPr>
          <w:rFonts w:asciiTheme="minorHAnsi" w:hAnsiTheme="minorHAnsi" w:cstheme="minorHAnsi"/>
          <w:sz w:val="20"/>
          <w:szCs w:val="20"/>
        </w:rPr>
        <w:t xml:space="preserve"> how to find the right business school. </w:t>
      </w:r>
      <w:r w:rsidR="0096593F" w:rsidRPr="0096210C">
        <w:rPr>
          <w:rFonts w:asciiTheme="minorHAnsi" w:hAnsiTheme="minorHAnsi" w:cstheme="minorHAnsi"/>
          <w:sz w:val="20"/>
          <w:szCs w:val="20"/>
        </w:rPr>
        <w:t xml:space="preserve">This rating is a tool for this next generation of change agents and as such is a response to wide-spread demands for a positive impact of </w:t>
      </w:r>
      <w:r w:rsidR="0096593F" w:rsidRPr="0096210C">
        <w:rPr>
          <w:rFonts w:asciiTheme="minorHAnsi" w:eastAsia="Times New Roman" w:hAnsiTheme="minorHAnsi" w:cstheme="minorHAnsi"/>
          <w:sz w:val="20"/>
          <w:szCs w:val="20"/>
        </w:rPr>
        <w:t>business schools</w:t>
      </w:r>
      <w:r w:rsidR="00B82474" w:rsidRPr="0096210C">
        <w:rPr>
          <w:rFonts w:asciiTheme="minorHAnsi" w:hAnsiTheme="minorHAnsi" w:cstheme="minorHAnsi"/>
          <w:sz w:val="20"/>
          <w:szCs w:val="20"/>
        </w:rPr>
        <w:t>.</w:t>
      </w:r>
      <w:r w:rsidR="0096593F" w:rsidRPr="0096210C">
        <w:rPr>
          <w:rFonts w:asciiTheme="minorHAnsi" w:hAnsiTheme="minorHAnsi" w:cstheme="minorHAnsi"/>
          <w:sz w:val="20"/>
          <w:szCs w:val="20"/>
        </w:rPr>
        <w:t xml:space="preserve"> </w:t>
      </w:r>
    </w:p>
    <w:p w14:paraId="1C0334DC" w14:textId="420F9731" w:rsidR="0024658B" w:rsidRPr="0096210C" w:rsidRDefault="0024658B" w:rsidP="0024658B">
      <w:pPr>
        <w:spacing w:before="240"/>
        <w:jc w:val="left"/>
        <w:rPr>
          <w:rFonts w:asciiTheme="minorHAnsi" w:hAnsiTheme="minorHAnsi" w:cstheme="minorHAnsi"/>
          <w:sz w:val="20"/>
          <w:szCs w:val="20"/>
        </w:rPr>
      </w:pPr>
    </w:p>
    <w:p w14:paraId="789F7696" w14:textId="14176B8D" w:rsidR="0024658B" w:rsidRPr="0096210C" w:rsidRDefault="0024658B" w:rsidP="0024658B">
      <w:pPr>
        <w:shd w:val="clear" w:color="auto" w:fill="D9D9D9" w:themeFill="background1" w:themeFillShade="D9"/>
        <w:jc w:val="left"/>
        <w:rPr>
          <w:rFonts w:asciiTheme="minorHAnsi" w:hAnsiTheme="minorHAnsi" w:cstheme="minorHAnsi"/>
        </w:rPr>
      </w:pPr>
      <w:r w:rsidRPr="0096210C">
        <w:rPr>
          <w:rFonts w:asciiTheme="minorHAnsi" w:hAnsiTheme="minorHAnsi" w:cstheme="minorHAnsi"/>
          <w:b/>
          <w:bCs/>
          <w:sz w:val="22"/>
        </w:rPr>
        <w:t>More information:</w:t>
      </w:r>
      <w:r w:rsidRPr="0096210C">
        <w:rPr>
          <w:rFonts w:asciiTheme="minorHAnsi" w:hAnsiTheme="minorHAnsi" w:cstheme="minorHAnsi"/>
          <w:sz w:val="22"/>
        </w:rPr>
        <w:t xml:space="preserve">   </w:t>
      </w:r>
      <w:hyperlink r:id="rId9" w:history="1">
        <w:r w:rsidRPr="0096210C">
          <w:rPr>
            <w:rStyle w:val="Hyperlink"/>
            <w:rFonts w:asciiTheme="minorHAnsi" w:hAnsiTheme="minorHAnsi" w:cstheme="minorHAnsi"/>
          </w:rPr>
          <w:t>www.PositiveImpactRating.org</w:t>
        </w:r>
      </w:hyperlink>
      <w:r w:rsidRPr="0096210C">
        <w:rPr>
          <w:rFonts w:asciiTheme="minorHAnsi" w:hAnsiTheme="minorHAnsi" w:cstheme="minorHAnsi"/>
        </w:rPr>
        <w:t xml:space="preserve">  |   @</w:t>
      </w:r>
      <w:proofErr w:type="spellStart"/>
      <w:r w:rsidRPr="0096210C">
        <w:rPr>
          <w:rFonts w:asciiTheme="minorHAnsi" w:hAnsiTheme="minorHAnsi" w:cstheme="minorHAnsi"/>
        </w:rPr>
        <w:t>RatingImpact</w:t>
      </w:r>
      <w:proofErr w:type="spellEnd"/>
      <w:r w:rsidRPr="0096210C">
        <w:rPr>
          <w:rFonts w:asciiTheme="minorHAnsi" w:hAnsiTheme="minorHAnsi" w:cstheme="minorHAnsi"/>
        </w:rPr>
        <w:t xml:space="preserve">   |   #</w:t>
      </w:r>
      <w:proofErr w:type="spellStart"/>
      <w:r w:rsidRPr="0096210C">
        <w:rPr>
          <w:rFonts w:asciiTheme="minorHAnsi" w:hAnsiTheme="minorHAnsi" w:cstheme="minorHAnsi"/>
        </w:rPr>
        <w:t>RatingImpact</w:t>
      </w:r>
      <w:proofErr w:type="spellEnd"/>
    </w:p>
    <w:p w14:paraId="7BE00A42" w14:textId="666E07EE" w:rsidR="00763137" w:rsidRPr="0096210C" w:rsidRDefault="00763137" w:rsidP="00763137">
      <w:pPr>
        <w:shd w:val="clear" w:color="auto" w:fill="D9D9D9" w:themeFill="background1" w:themeFillShade="D9"/>
        <w:spacing w:before="120"/>
        <w:jc w:val="left"/>
        <w:rPr>
          <w:rFonts w:asciiTheme="minorHAnsi" w:hAnsiTheme="minorHAnsi" w:cstheme="minorHAnsi"/>
          <w:szCs w:val="21"/>
          <w:u w:val="single"/>
        </w:rPr>
      </w:pPr>
      <w:r w:rsidRPr="0096210C">
        <w:rPr>
          <w:rFonts w:asciiTheme="minorHAnsi" w:hAnsiTheme="minorHAnsi" w:cstheme="minorHAnsi"/>
        </w:rPr>
        <w:t xml:space="preserve">Dedicated web section for the 2020 Report: </w:t>
      </w:r>
      <w:hyperlink r:id="rId10" w:history="1">
        <w:r w:rsidRPr="0096210C">
          <w:rPr>
            <w:rStyle w:val="Hyperlink"/>
            <w:rFonts w:asciiTheme="minorHAnsi" w:hAnsiTheme="minorHAnsi" w:cstheme="minorHAnsi"/>
          </w:rPr>
          <w:t>www.PositiveImpactRating.org/PIR2020</w:t>
        </w:r>
      </w:hyperlink>
      <w:r w:rsidRPr="0096210C">
        <w:rPr>
          <w:rFonts w:asciiTheme="minorHAnsi" w:hAnsiTheme="minorHAnsi" w:cstheme="minorHAnsi"/>
        </w:rPr>
        <w:t xml:space="preserve"> (opens Jan 22nd 12:00)</w:t>
      </w:r>
    </w:p>
    <w:p w14:paraId="18954DC2" w14:textId="77777777" w:rsidR="0024658B" w:rsidRPr="0096210C" w:rsidRDefault="0024658B" w:rsidP="0024658B">
      <w:pPr>
        <w:shd w:val="clear" w:color="auto" w:fill="D9D9D9" w:themeFill="background1" w:themeFillShade="D9"/>
        <w:spacing w:before="120"/>
        <w:jc w:val="left"/>
        <w:rPr>
          <w:rFonts w:asciiTheme="minorHAnsi" w:eastAsia="Times New Roman" w:hAnsiTheme="minorHAnsi" w:cstheme="minorHAnsi"/>
          <w:szCs w:val="21"/>
          <w:u w:val="single"/>
        </w:rPr>
      </w:pPr>
      <w:r w:rsidRPr="0096210C">
        <w:rPr>
          <w:rFonts w:asciiTheme="minorHAnsi" w:hAnsiTheme="minorHAnsi" w:cstheme="minorHAnsi"/>
          <w:b/>
          <w:bCs/>
          <w:sz w:val="22"/>
        </w:rPr>
        <w:t>Press &amp; communications contact:</w:t>
      </w:r>
      <w:r w:rsidRPr="0096210C">
        <w:rPr>
          <w:rFonts w:asciiTheme="minorHAnsi" w:hAnsiTheme="minorHAnsi" w:cstheme="minorHAnsi"/>
          <w:sz w:val="22"/>
        </w:rPr>
        <w:t xml:space="preserve"> </w:t>
      </w:r>
      <w:r w:rsidRPr="0096210C">
        <w:rPr>
          <w:rFonts w:asciiTheme="minorHAnsi" w:eastAsia="Times New Roman" w:hAnsiTheme="minorHAnsi" w:cstheme="minorHAnsi"/>
          <w:sz w:val="22"/>
        </w:rPr>
        <w:t xml:space="preserve"> </w:t>
      </w:r>
      <w:r w:rsidRPr="0096210C">
        <w:rPr>
          <w:rFonts w:asciiTheme="minorHAnsi" w:hAnsiTheme="minorHAnsi" w:cstheme="minorHAnsi"/>
          <w:szCs w:val="21"/>
        </w:rPr>
        <w:t xml:space="preserve">Katrin Muff, President of the Positive Impact Rating Association </w:t>
      </w:r>
    </w:p>
    <w:p w14:paraId="32D4C94B" w14:textId="40E1009D" w:rsidR="0024658B" w:rsidRPr="0096210C" w:rsidRDefault="000E678F" w:rsidP="0024658B">
      <w:pPr>
        <w:shd w:val="clear" w:color="auto" w:fill="D9D9D9" w:themeFill="background1" w:themeFillShade="D9"/>
        <w:jc w:val="left"/>
        <w:rPr>
          <w:rFonts w:asciiTheme="minorHAnsi" w:eastAsia="Times New Roman" w:hAnsiTheme="minorHAnsi" w:cstheme="minorHAnsi"/>
          <w:szCs w:val="21"/>
          <w:u w:val="single"/>
        </w:rPr>
      </w:pPr>
      <w:hyperlink r:id="rId11" w:history="1">
        <w:r w:rsidR="0024658B" w:rsidRPr="0096210C">
          <w:rPr>
            <w:rStyle w:val="Hyperlink"/>
            <w:rFonts w:asciiTheme="minorHAnsi" w:eastAsia="Times New Roman" w:hAnsiTheme="minorHAnsi" w:cstheme="minorHAnsi"/>
            <w:szCs w:val="21"/>
          </w:rPr>
          <w:t>Katrin.Muff@PositiveImpactRating.org</w:t>
        </w:r>
      </w:hyperlink>
      <w:r w:rsidR="0024658B" w:rsidRPr="0096210C">
        <w:rPr>
          <w:rFonts w:asciiTheme="minorHAnsi" w:hAnsiTheme="minorHAnsi" w:cstheme="minorHAnsi"/>
          <w:szCs w:val="21"/>
        </w:rPr>
        <w:t>, Social: @</w:t>
      </w:r>
      <w:proofErr w:type="spellStart"/>
      <w:r w:rsidR="0024658B" w:rsidRPr="0096210C">
        <w:rPr>
          <w:rFonts w:asciiTheme="minorHAnsi" w:hAnsiTheme="minorHAnsi" w:cstheme="minorHAnsi"/>
          <w:szCs w:val="21"/>
        </w:rPr>
        <w:t>KatrinMuff</w:t>
      </w:r>
      <w:proofErr w:type="spellEnd"/>
      <w:r w:rsidR="0024658B" w:rsidRPr="0096210C">
        <w:rPr>
          <w:rFonts w:asciiTheme="minorHAnsi" w:hAnsiTheme="minorHAnsi" w:cstheme="minorHAnsi"/>
          <w:szCs w:val="21"/>
        </w:rPr>
        <w:t xml:space="preserve">, Skype: </w:t>
      </w:r>
      <w:proofErr w:type="spellStart"/>
      <w:r w:rsidR="0024658B" w:rsidRPr="0096210C">
        <w:rPr>
          <w:rFonts w:asciiTheme="minorHAnsi" w:hAnsiTheme="minorHAnsi" w:cstheme="minorHAnsi"/>
          <w:szCs w:val="21"/>
        </w:rPr>
        <w:t>Katrin.Muff</w:t>
      </w:r>
      <w:proofErr w:type="spellEnd"/>
      <w:r w:rsidR="0024658B" w:rsidRPr="0096210C">
        <w:rPr>
          <w:rFonts w:asciiTheme="minorHAnsi" w:eastAsia="Times New Roman" w:hAnsiTheme="minorHAnsi" w:cstheme="minorHAnsi"/>
          <w:szCs w:val="21"/>
        </w:rPr>
        <w:t xml:space="preserve">, </w:t>
      </w:r>
      <w:r w:rsidR="0024658B" w:rsidRPr="0096210C">
        <w:rPr>
          <w:rFonts w:asciiTheme="minorHAnsi" w:hAnsiTheme="minorHAnsi" w:cstheme="minorHAnsi"/>
          <w:szCs w:val="21"/>
        </w:rPr>
        <w:t>Phone: +41 79 310 0392</w:t>
      </w:r>
    </w:p>
    <w:p w14:paraId="084637F2" w14:textId="77777777" w:rsidR="0024658B" w:rsidRPr="0096210C" w:rsidRDefault="0024658B" w:rsidP="0024658B">
      <w:pPr>
        <w:rPr>
          <w:rFonts w:asciiTheme="minorHAnsi" w:hAnsiTheme="minorHAnsi" w:cstheme="minorHAnsi"/>
          <w:sz w:val="10"/>
          <w:szCs w:val="10"/>
          <w:u w:val="single"/>
        </w:rPr>
      </w:pPr>
    </w:p>
    <w:p w14:paraId="645F38A1" w14:textId="77777777" w:rsidR="00D075BF" w:rsidRPr="0096210C" w:rsidRDefault="00D075BF" w:rsidP="00763137">
      <w:pPr>
        <w:rPr>
          <w:rFonts w:asciiTheme="minorHAnsi" w:hAnsiTheme="minorHAnsi" w:cstheme="minorHAnsi"/>
          <w:sz w:val="24"/>
          <w:szCs w:val="28"/>
          <w:u w:val="single"/>
        </w:rPr>
      </w:pPr>
    </w:p>
    <w:p w14:paraId="36AD22D0" w14:textId="3D6B9C7D" w:rsidR="0005655F" w:rsidRPr="0096210C" w:rsidRDefault="0024658B" w:rsidP="00763137">
      <w:pPr>
        <w:rPr>
          <w:rFonts w:asciiTheme="minorHAnsi" w:hAnsiTheme="minorHAnsi" w:cstheme="minorHAnsi"/>
          <w:sz w:val="24"/>
          <w:szCs w:val="28"/>
          <w:u w:val="single"/>
        </w:rPr>
      </w:pPr>
      <w:r w:rsidRPr="0096210C">
        <w:rPr>
          <w:rFonts w:asciiTheme="minorHAnsi" w:hAnsiTheme="minorHAnsi" w:cstheme="minorHAnsi"/>
          <w:sz w:val="24"/>
          <w:szCs w:val="28"/>
          <w:u w:val="single"/>
        </w:rPr>
        <w:t xml:space="preserve">Appendices: </w:t>
      </w:r>
    </w:p>
    <w:p w14:paraId="03209383" w14:textId="7BAB17AE" w:rsidR="00EA0692" w:rsidRPr="0096210C" w:rsidRDefault="001438D5" w:rsidP="00763137">
      <w:pPr>
        <w:jc w:val="center"/>
        <w:rPr>
          <w:rFonts w:asciiTheme="minorHAnsi" w:hAnsiTheme="minorHAnsi" w:cstheme="minorHAnsi"/>
          <w:sz w:val="18"/>
          <w:szCs w:val="18"/>
        </w:rPr>
      </w:pPr>
      <w:r w:rsidRPr="0096210C">
        <w:rPr>
          <w:rFonts w:asciiTheme="minorHAnsi" w:hAnsiTheme="minorHAnsi" w:cstheme="minorHAnsi"/>
          <w:noProof/>
          <w:sz w:val="18"/>
          <w:szCs w:val="18"/>
        </w:rPr>
        <w:drawing>
          <wp:inline distT="0" distB="0" distL="0" distR="0" wp14:anchorId="6DB86532" wp14:editId="199208BE">
            <wp:extent cx="6106795" cy="46888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 30 school names.JPG"/>
                    <pic:cNvPicPr/>
                  </pic:nvPicPr>
                  <pic:blipFill>
                    <a:blip r:embed="rId12">
                      <a:extLst>
                        <a:ext uri="{28A0092B-C50C-407E-A947-70E740481C1C}">
                          <a14:useLocalDpi xmlns:a14="http://schemas.microsoft.com/office/drawing/2010/main" val="0"/>
                        </a:ext>
                      </a:extLst>
                    </a:blip>
                    <a:stretch>
                      <a:fillRect/>
                    </a:stretch>
                  </pic:blipFill>
                  <pic:spPr>
                    <a:xfrm>
                      <a:off x="0" y="0"/>
                      <a:ext cx="6106795" cy="4688840"/>
                    </a:xfrm>
                    <a:prstGeom prst="rect">
                      <a:avLst/>
                    </a:prstGeom>
                  </pic:spPr>
                </pic:pic>
              </a:graphicData>
            </a:graphic>
          </wp:inline>
        </w:drawing>
      </w:r>
      <w:r w:rsidR="00D7778E" w:rsidRPr="0096210C">
        <w:rPr>
          <w:rFonts w:asciiTheme="minorHAnsi" w:hAnsiTheme="minorHAnsi" w:cstheme="minorHAnsi"/>
          <w:sz w:val="18"/>
          <w:szCs w:val="18"/>
        </w:rPr>
        <w:t>Table 1: Overview of top 30 leading schools of the Positive Impact Rating, edition 2020</w:t>
      </w:r>
    </w:p>
    <w:p w14:paraId="12810948" w14:textId="5BE4C41D" w:rsidR="00D7778E" w:rsidRPr="0096210C" w:rsidRDefault="00B82474">
      <w:pPr>
        <w:rPr>
          <w:rFonts w:asciiTheme="minorHAnsi" w:hAnsiTheme="minorHAnsi" w:cstheme="minorHAnsi"/>
          <w:u w:val="single"/>
        </w:rPr>
      </w:pPr>
      <w:r w:rsidRPr="0096210C">
        <w:rPr>
          <w:rFonts w:asciiTheme="minorHAnsi" w:hAnsiTheme="minorHAnsi" w:cstheme="minorHAnsi"/>
          <w:noProof/>
        </w:rPr>
        <w:lastRenderedPageBreak/>
        <w:drawing>
          <wp:anchor distT="0" distB="0" distL="114300" distR="114300" simplePos="0" relativeHeight="251659264" behindDoc="0" locked="0" layoutInCell="1" allowOverlap="1" wp14:anchorId="7244834B" wp14:editId="496DD0A0">
            <wp:simplePos x="0" y="0"/>
            <wp:positionH relativeFrom="column">
              <wp:posOffset>0</wp:posOffset>
            </wp:positionH>
            <wp:positionV relativeFrom="paragraph">
              <wp:posOffset>189865</wp:posOffset>
            </wp:positionV>
            <wp:extent cx="5899785" cy="2947035"/>
            <wp:effectExtent l="0" t="0" r="5715" b="5715"/>
            <wp:wrapThrough wrapText="bothSides">
              <wp:wrapPolygon edited="0">
                <wp:start x="0" y="0"/>
                <wp:lineTo x="0" y="21502"/>
                <wp:lineTo x="21551" y="21502"/>
                <wp:lineTo x="2155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mension chart FINAL.JPG"/>
                    <pic:cNvPicPr/>
                  </pic:nvPicPr>
                  <pic:blipFill>
                    <a:blip r:embed="rId13">
                      <a:extLst>
                        <a:ext uri="{28A0092B-C50C-407E-A947-70E740481C1C}">
                          <a14:useLocalDpi xmlns:a14="http://schemas.microsoft.com/office/drawing/2010/main" val="0"/>
                        </a:ext>
                      </a:extLst>
                    </a:blip>
                    <a:stretch>
                      <a:fillRect/>
                    </a:stretch>
                  </pic:blipFill>
                  <pic:spPr>
                    <a:xfrm>
                      <a:off x="0" y="0"/>
                      <a:ext cx="5899785" cy="2947035"/>
                    </a:xfrm>
                    <a:prstGeom prst="rect">
                      <a:avLst/>
                    </a:prstGeom>
                  </pic:spPr>
                </pic:pic>
              </a:graphicData>
            </a:graphic>
            <wp14:sizeRelH relativeFrom="page">
              <wp14:pctWidth>0</wp14:pctWidth>
            </wp14:sizeRelH>
            <wp14:sizeRelV relativeFrom="page">
              <wp14:pctHeight>0</wp14:pctHeight>
            </wp14:sizeRelV>
          </wp:anchor>
        </w:drawing>
      </w:r>
    </w:p>
    <w:p w14:paraId="1F2FB9D6" w14:textId="4A74AE8F" w:rsidR="00D7778E" w:rsidRPr="0096210C" w:rsidRDefault="00D7778E" w:rsidP="0024658B">
      <w:pPr>
        <w:spacing w:before="120"/>
        <w:jc w:val="center"/>
        <w:rPr>
          <w:rFonts w:asciiTheme="minorHAnsi" w:hAnsiTheme="minorHAnsi" w:cstheme="minorHAnsi"/>
          <w:sz w:val="18"/>
          <w:szCs w:val="18"/>
        </w:rPr>
      </w:pPr>
      <w:r w:rsidRPr="0096210C">
        <w:rPr>
          <w:rFonts w:asciiTheme="minorHAnsi" w:hAnsiTheme="minorHAnsi" w:cstheme="minorHAnsi"/>
          <w:sz w:val="18"/>
          <w:szCs w:val="18"/>
        </w:rPr>
        <w:t>Graph 1: Comparison of performance by dimension of nine level 4 transforming schools as compared to all schools</w:t>
      </w:r>
    </w:p>
    <w:p w14:paraId="79596E93" w14:textId="76F3FA4E" w:rsidR="00B82474" w:rsidRPr="0096210C" w:rsidRDefault="00B82474" w:rsidP="0024658B">
      <w:pPr>
        <w:spacing w:before="120"/>
        <w:jc w:val="center"/>
        <w:rPr>
          <w:rFonts w:asciiTheme="minorHAnsi" w:hAnsiTheme="minorHAnsi" w:cstheme="minorHAnsi"/>
          <w:sz w:val="18"/>
          <w:szCs w:val="18"/>
        </w:rPr>
      </w:pPr>
    </w:p>
    <w:p w14:paraId="08D67AC0" w14:textId="272FC755" w:rsidR="00B82474" w:rsidRPr="0096210C" w:rsidRDefault="00B82474" w:rsidP="0024658B">
      <w:pPr>
        <w:spacing w:before="120"/>
        <w:jc w:val="center"/>
        <w:rPr>
          <w:rFonts w:asciiTheme="minorHAnsi" w:hAnsiTheme="minorHAnsi" w:cstheme="minorHAnsi"/>
          <w:sz w:val="18"/>
          <w:szCs w:val="18"/>
        </w:rPr>
      </w:pPr>
    </w:p>
    <w:p w14:paraId="6EFEC877" w14:textId="01D2DDE7" w:rsidR="00B82474" w:rsidRPr="0096210C" w:rsidRDefault="00B82474" w:rsidP="0024658B">
      <w:pPr>
        <w:spacing w:before="120"/>
        <w:jc w:val="center"/>
        <w:rPr>
          <w:rFonts w:asciiTheme="minorHAnsi" w:hAnsiTheme="minorHAnsi" w:cstheme="minorHAnsi"/>
          <w:sz w:val="18"/>
          <w:szCs w:val="18"/>
        </w:rPr>
      </w:pPr>
      <w:r w:rsidRPr="0096210C">
        <w:rPr>
          <w:rFonts w:asciiTheme="minorHAnsi" w:hAnsiTheme="minorHAnsi" w:cstheme="minorHAnsi"/>
          <w:noProof/>
          <w:sz w:val="18"/>
          <w:szCs w:val="18"/>
        </w:rPr>
        <w:drawing>
          <wp:inline distT="0" distB="0" distL="0" distR="0" wp14:anchorId="11979168" wp14:editId="16640650">
            <wp:extent cx="6106795" cy="359918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schools FINAL.JPG"/>
                    <pic:cNvPicPr/>
                  </pic:nvPicPr>
                  <pic:blipFill>
                    <a:blip r:embed="rId14">
                      <a:extLst>
                        <a:ext uri="{28A0092B-C50C-407E-A947-70E740481C1C}">
                          <a14:useLocalDpi xmlns:a14="http://schemas.microsoft.com/office/drawing/2010/main" val="0"/>
                        </a:ext>
                      </a:extLst>
                    </a:blip>
                    <a:stretch>
                      <a:fillRect/>
                    </a:stretch>
                  </pic:blipFill>
                  <pic:spPr>
                    <a:xfrm>
                      <a:off x="0" y="0"/>
                      <a:ext cx="6106795" cy="3599180"/>
                    </a:xfrm>
                    <a:prstGeom prst="rect">
                      <a:avLst/>
                    </a:prstGeom>
                  </pic:spPr>
                </pic:pic>
              </a:graphicData>
            </a:graphic>
          </wp:inline>
        </w:drawing>
      </w:r>
    </w:p>
    <w:p w14:paraId="74B4AFBB" w14:textId="2D221394" w:rsidR="00B82474" w:rsidRDefault="00B82474" w:rsidP="00B82474">
      <w:pPr>
        <w:spacing w:before="120"/>
        <w:jc w:val="center"/>
        <w:rPr>
          <w:rFonts w:asciiTheme="minorHAnsi" w:hAnsiTheme="minorHAnsi" w:cstheme="minorHAnsi"/>
          <w:sz w:val="18"/>
          <w:szCs w:val="18"/>
        </w:rPr>
      </w:pPr>
      <w:r w:rsidRPr="0096210C">
        <w:rPr>
          <w:rFonts w:asciiTheme="minorHAnsi" w:hAnsiTheme="minorHAnsi" w:cstheme="minorHAnsi"/>
          <w:sz w:val="18"/>
          <w:szCs w:val="18"/>
        </w:rPr>
        <w:t>Graph 2: Top 30 PIR schools compared with all participating schools</w:t>
      </w:r>
    </w:p>
    <w:p w14:paraId="0F55D775" w14:textId="77777777" w:rsidR="003029D1" w:rsidRPr="0096210C" w:rsidRDefault="003029D1" w:rsidP="00B82474">
      <w:pPr>
        <w:spacing w:before="120"/>
        <w:jc w:val="center"/>
        <w:rPr>
          <w:rFonts w:asciiTheme="minorHAnsi" w:hAnsiTheme="minorHAnsi" w:cstheme="minorHAnsi"/>
          <w:sz w:val="18"/>
          <w:szCs w:val="18"/>
        </w:rPr>
      </w:pPr>
      <w:bookmarkStart w:id="0" w:name="_GoBack"/>
      <w:bookmarkEnd w:id="0"/>
    </w:p>
    <w:p w14:paraId="7E2F3943" w14:textId="7279675A" w:rsidR="00B82474" w:rsidRPr="0096210C" w:rsidRDefault="003029D1" w:rsidP="0024658B">
      <w:pPr>
        <w:spacing w:before="120"/>
        <w:jc w:val="center"/>
        <w:rPr>
          <w:rFonts w:asciiTheme="minorHAnsi" w:hAnsiTheme="minorHAnsi" w:cstheme="minorHAnsi"/>
          <w:sz w:val="18"/>
          <w:szCs w:val="18"/>
        </w:rPr>
      </w:pPr>
      <w:r>
        <w:rPr>
          <w:noProof/>
        </w:rPr>
        <w:drawing>
          <wp:inline distT="0" distB="0" distL="0" distR="0" wp14:anchorId="367ED82A" wp14:editId="2E81302E">
            <wp:extent cx="6106795" cy="11804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6795" cy="1180465"/>
                    </a:xfrm>
                    <a:prstGeom prst="rect">
                      <a:avLst/>
                    </a:prstGeom>
                  </pic:spPr>
                </pic:pic>
              </a:graphicData>
            </a:graphic>
          </wp:inline>
        </w:drawing>
      </w:r>
    </w:p>
    <w:sectPr w:rsidR="00B82474" w:rsidRPr="0096210C" w:rsidSect="0024658B">
      <w:footerReference w:type="default" r:id="rId16"/>
      <w:type w:val="continuous"/>
      <w:pgSz w:w="11906" w:h="16838"/>
      <w:pgMar w:top="993" w:right="849"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B9B7" w14:textId="77777777" w:rsidR="000E678F" w:rsidRDefault="000E678F">
      <w:pPr>
        <w:spacing w:line="240" w:lineRule="auto"/>
      </w:pPr>
      <w:r>
        <w:separator/>
      </w:r>
    </w:p>
  </w:endnote>
  <w:endnote w:type="continuationSeparator" w:id="0">
    <w:p w14:paraId="1A13C450" w14:textId="77777777" w:rsidR="000E678F" w:rsidRDefault="000E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3877" w14:textId="77777777" w:rsidR="00D7778E" w:rsidRDefault="00D7778E" w:rsidP="00D7778E">
    <w:pPr>
      <w:jc w:val="right"/>
      <w:rPr>
        <w:sz w:val="18"/>
        <w:szCs w:val="18"/>
      </w:rPr>
    </w:pPr>
  </w:p>
  <w:p w14:paraId="62C7E430" w14:textId="235DABDE" w:rsidR="00D7778E" w:rsidRPr="00D075BF" w:rsidRDefault="00D7778E" w:rsidP="00D7778E">
    <w:pPr>
      <w:jc w:val="right"/>
      <w:rPr>
        <w:sz w:val="16"/>
        <w:szCs w:val="16"/>
      </w:rPr>
    </w:pPr>
    <w:r w:rsidRPr="00D075BF">
      <w:rPr>
        <w:sz w:val="16"/>
        <w:szCs w:val="16"/>
      </w:rPr>
      <w:t>© Positive Impact Rating Association, Lucerne, Switzerland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DBE2" w14:textId="77777777" w:rsidR="000E678F" w:rsidRDefault="000E678F">
      <w:pPr>
        <w:spacing w:line="240" w:lineRule="auto"/>
      </w:pPr>
      <w:r>
        <w:separator/>
      </w:r>
    </w:p>
  </w:footnote>
  <w:footnote w:type="continuationSeparator" w:id="0">
    <w:p w14:paraId="205B0F76" w14:textId="77777777" w:rsidR="000E678F" w:rsidRDefault="000E67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20C"/>
    <w:multiLevelType w:val="hybridMultilevel"/>
    <w:tmpl w:val="8ADE0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5F"/>
    <w:rsid w:val="0004087F"/>
    <w:rsid w:val="0004556D"/>
    <w:rsid w:val="0005134E"/>
    <w:rsid w:val="0005655F"/>
    <w:rsid w:val="0008300A"/>
    <w:rsid w:val="000E2357"/>
    <w:rsid w:val="000E678F"/>
    <w:rsid w:val="001438D5"/>
    <w:rsid w:val="0024658B"/>
    <w:rsid w:val="00261BE3"/>
    <w:rsid w:val="00277DE4"/>
    <w:rsid w:val="002D3D7A"/>
    <w:rsid w:val="003029D1"/>
    <w:rsid w:val="003F0CD0"/>
    <w:rsid w:val="00410634"/>
    <w:rsid w:val="004841C5"/>
    <w:rsid w:val="004953CF"/>
    <w:rsid w:val="004C5DA4"/>
    <w:rsid w:val="00553573"/>
    <w:rsid w:val="005C6B5D"/>
    <w:rsid w:val="005D7CD8"/>
    <w:rsid w:val="005F3BBA"/>
    <w:rsid w:val="00634D10"/>
    <w:rsid w:val="006624F7"/>
    <w:rsid w:val="006A0CEE"/>
    <w:rsid w:val="00763137"/>
    <w:rsid w:val="00845ED7"/>
    <w:rsid w:val="0088465E"/>
    <w:rsid w:val="00896644"/>
    <w:rsid w:val="0095118E"/>
    <w:rsid w:val="0096210C"/>
    <w:rsid w:val="00965345"/>
    <w:rsid w:val="0096593F"/>
    <w:rsid w:val="00977569"/>
    <w:rsid w:val="0098485E"/>
    <w:rsid w:val="00A004FE"/>
    <w:rsid w:val="00A14EE8"/>
    <w:rsid w:val="00A403FA"/>
    <w:rsid w:val="00AC34D1"/>
    <w:rsid w:val="00AD57D8"/>
    <w:rsid w:val="00B04F51"/>
    <w:rsid w:val="00B224B8"/>
    <w:rsid w:val="00B34B39"/>
    <w:rsid w:val="00B82474"/>
    <w:rsid w:val="00C13FC4"/>
    <w:rsid w:val="00D075BF"/>
    <w:rsid w:val="00D23129"/>
    <w:rsid w:val="00D32727"/>
    <w:rsid w:val="00D7778E"/>
    <w:rsid w:val="00D82C26"/>
    <w:rsid w:val="00D83536"/>
    <w:rsid w:val="00DE196B"/>
    <w:rsid w:val="00EA0692"/>
    <w:rsid w:val="00F21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4181"/>
  <w15:chartTrackingRefBased/>
  <w15:docId w15:val="{D603ED98-6A0F-4440-B8C9-17D28E2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5F"/>
    <w:pPr>
      <w:spacing w:after="0" w:line="276" w:lineRule="auto"/>
      <w:jc w:val="both"/>
    </w:pPr>
    <w:rPr>
      <w:rFonts w:ascii="Source Sans Pro" w:hAnsi="Source Sans Pro"/>
      <w:sz w:val="21"/>
      <w:lang w:val="en-US"/>
    </w:rPr>
  </w:style>
  <w:style w:type="paragraph" w:styleId="Heading1">
    <w:name w:val="heading 1"/>
    <w:basedOn w:val="Normal"/>
    <w:next w:val="Normal"/>
    <w:link w:val="Heading1Char"/>
    <w:uiPriority w:val="9"/>
    <w:qFormat/>
    <w:rsid w:val="0005655F"/>
    <w:pPr>
      <w:spacing w:after="240" w:line="240" w:lineRule="auto"/>
      <w:outlineLvl w:val="0"/>
    </w:pPr>
    <w:rPr>
      <w:rFonts w:ascii="Bahnschrift SemiBold" w:eastAsia="Times New Roman" w:hAnsi="Bahnschrift SemiBold" w:cs="Arial"/>
      <w:b/>
      <w:bCs/>
      <w:color w:val="7F7F7F" w:themeColor="text1" w:themeTint="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55F"/>
    <w:rPr>
      <w:rFonts w:ascii="Bahnschrift SemiBold" w:eastAsia="Times New Roman" w:hAnsi="Bahnschrift SemiBold" w:cs="Arial"/>
      <w:b/>
      <w:bCs/>
      <w:color w:val="7F7F7F" w:themeColor="text1" w:themeTint="80"/>
      <w:sz w:val="36"/>
      <w:szCs w:val="36"/>
      <w:lang w:val="en-US"/>
    </w:rPr>
  </w:style>
  <w:style w:type="character" w:styleId="Hyperlink">
    <w:name w:val="Hyperlink"/>
    <w:basedOn w:val="DefaultParagraphFont"/>
    <w:uiPriority w:val="99"/>
    <w:unhideWhenUsed/>
    <w:rsid w:val="0005655F"/>
    <w:rPr>
      <w:color w:val="0000FF"/>
      <w:u w:val="single"/>
    </w:rPr>
  </w:style>
  <w:style w:type="paragraph" w:styleId="Footer">
    <w:name w:val="footer"/>
    <w:basedOn w:val="Normal"/>
    <w:link w:val="FooterChar"/>
    <w:uiPriority w:val="99"/>
    <w:unhideWhenUsed/>
    <w:rsid w:val="0005655F"/>
    <w:pPr>
      <w:tabs>
        <w:tab w:val="center" w:pos="4513"/>
        <w:tab w:val="right" w:pos="9026"/>
      </w:tabs>
      <w:spacing w:line="240" w:lineRule="auto"/>
    </w:pPr>
  </w:style>
  <w:style w:type="character" w:customStyle="1" w:styleId="FooterChar">
    <w:name w:val="Footer Char"/>
    <w:basedOn w:val="DefaultParagraphFont"/>
    <w:link w:val="Footer"/>
    <w:uiPriority w:val="99"/>
    <w:rsid w:val="0005655F"/>
    <w:rPr>
      <w:rFonts w:ascii="Source Sans Pro" w:hAnsi="Source Sans Pro"/>
      <w:sz w:val="21"/>
      <w:lang w:val="en-US"/>
    </w:rPr>
  </w:style>
  <w:style w:type="table" w:styleId="TableGrid">
    <w:name w:val="Table Grid"/>
    <w:basedOn w:val="TableNormal"/>
    <w:uiPriority w:val="39"/>
    <w:rsid w:val="00EA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692"/>
    <w:pPr>
      <w:spacing w:after="160" w:line="259"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EA0692"/>
    <w:pPr>
      <w:tabs>
        <w:tab w:val="center" w:pos="4513"/>
        <w:tab w:val="right" w:pos="9026"/>
      </w:tabs>
      <w:spacing w:line="240" w:lineRule="auto"/>
    </w:pPr>
  </w:style>
  <w:style w:type="character" w:customStyle="1" w:styleId="HeaderChar">
    <w:name w:val="Header Char"/>
    <w:basedOn w:val="DefaultParagraphFont"/>
    <w:link w:val="Header"/>
    <w:uiPriority w:val="99"/>
    <w:rsid w:val="00EA0692"/>
    <w:rPr>
      <w:rFonts w:ascii="Source Sans Pro" w:hAnsi="Source Sans Pro"/>
      <w:sz w:val="21"/>
      <w:lang w:val="en-US"/>
    </w:rPr>
  </w:style>
  <w:style w:type="character" w:styleId="UnresolvedMention">
    <w:name w:val="Unresolved Mention"/>
    <w:basedOn w:val="DefaultParagraphFont"/>
    <w:uiPriority w:val="99"/>
    <w:semiHidden/>
    <w:unhideWhenUsed/>
    <w:rsid w:val="00D7778E"/>
    <w:rPr>
      <w:color w:val="605E5C"/>
      <w:shd w:val="clear" w:color="auto" w:fill="E1DFDD"/>
    </w:rPr>
  </w:style>
  <w:style w:type="paragraph" w:styleId="BalloonText">
    <w:name w:val="Balloon Text"/>
    <w:basedOn w:val="Normal"/>
    <w:link w:val="BalloonTextChar"/>
    <w:uiPriority w:val="99"/>
    <w:semiHidden/>
    <w:unhideWhenUsed/>
    <w:rsid w:val="00277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916">
      <w:bodyDiv w:val="1"/>
      <w:marLeft w:val="0"/>
      <w:marRight w:val="0"/>
      <w:marTop w:val="0"/>
      <w:marBottom w:val="0"/>
      <w:divBdr>
        <w:top w:val="none" w:sz="0" w:space="0" w:color="auto"/>
        <w:left w:val="none" w:sz="0" w:space="0" w:color="auto"/>
        <w:bottom w:val="none" w:sz="0" w:space="0" w:color="auto"/>
        <w:right w:val="none" w:sz="0" w:space="0" w:color="auto"/>
      </w:divBdr>
    </w:div>
    <w:div w:id="126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Muff@PositiveImpactRating.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ositiveImpactRating.org/PIR2020" TargetMode="External"/><Relationship Id="rId4" Type="http://schemas.openxmlformats.org/officeDocument/2006/relationships/settings" Target="settings.xml"/><Relationship Id="rId9" Type="http://schemas.openxmlformats.org/officeDocument/2006/relationships/hyperlink" Target="http://www.PositiveImpactRating.org"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7B54-E0AB-4B72-899F-72FC9046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Muff</dc:creator>
  <cp:keywords/>
  <dc:description/>
  <cp:lastModifiedBy>Katrin Muff</cp:lastModifiedBy>
  <cp:revision>2</cp:revision>
  <cp:lastPrinted>2020-01-14T18:09:00Z</cp:lastPrinted>
  <dcterms:created xsi:type="dcterms:W3CDTF">2020-01-20T15:17:00Z</dcterms:created>
  <dcterms:modified xsi:type="dcterms:W3CDTF">2020-01-20T15:17:00Z</dcterms:modified>
</cp:coreProperties>
</file>